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8"/>
          <w:szCs w:val="18"/>
          <w:color w:val="auto"/>
        </w:rPr>
        <w:t>As filed with the Securities and Exchange Commission on June 22, 2026</w:t>
      </w:r>
    </w:p>
    <w:p>
      <w:pPr>
        <w:spacing w:after="0" w:line="220" w:lineRule="exact"/>
        <w:rPr>
          <w:sz w:val="24"/>
          <w:szCs w:val="24"/>
          <w:color w:val="auto"/>
        </w:rPr>
      </w:pPr>
    </w:p>
    <w:p>
      <w:pPr>
        <w:ind w:left="9020"/>
        <w:spacing w:after="0"/>
        <w:rPr>
          <w:sz w:val="20"/>
          <w:szCs w:val="20"/>
          <w:color w:val="auto"/>
        </w:rPr>
      </w:pPr>
      <w:r>
        <w:rPr>
          <w:rFonts w:ascii="Times New Roman" w:cs="Times New Roman" w:eastAsia="Times New Roman" w:hAnsi="Times New Roman"/>
          <w:sz w:val="17"/>
          <w:szCs w:val="17"/>
          <w:color w:val="auto"/>
        </w:rPr>
        <w:t>Registration No. 333-______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1335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57150</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7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S-8</w:t>
      </w:r>
    </w:p>
    <w:p>
      <w:pPr>
        <w:spacing w:after="0" w:line="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139700</wp:posOffset>
            </wp:positionV>
            <wp:extent cx="7133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SUPERNUS PHARMACEUTICALS, INC.</w:t>
      </w:r>
    </w:p>
    <w:p>
      <w:pPr>
        <w:spacing w:after="0" w:line="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139065</wp:posOffset>
            </wp:positionV>
            <wp:extent cx="71335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tbl>
      <w:tblPr>
        <w:tblLayout w:type="fixed"/>
        <w:tblInd w:w="1360" w:type="dxa"/>
        <w:tblCellMar>
          <w:top w:w="0" w:type="dxa"/>
          <w:left w:w="0" w:type="dxa"/>
          <w:bottom w:w="0" w:type="dxa"/>
          <w:right w:w="0" w:type="dxa"/>
        </w:tblCellMar>
      </w:tblPr>
      <w:tr>
        <w:trPr>
          <w:trHeight w:val="218"/>
        </w:trPr>
        <w:tc>
          <w:tcPr>
            <w:tcW w:w="5360" w:type="dxa"/>
            <w:vAlign w:val="bottom"/>
          </w:tcPr>
          <w:p>
            <w:pPr>
              <w:jc w:val="center"/>
              <w:ind w:right="99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80" w:type="dxa"/>
            <w:vAlign w:val="bottom"/>
          </w:tcPr>
          <w:p>
            <w:pPr>
              <w:jc w:val="right"/>
              <w:ind w:right="771"/>
              <w:spacing w:after="0"/>
              <w:rPr>
                <w:sz w:val="20"/>
                <w:szCs w:val="20"/>
                <w:color w:val="auto"/>
              </w:rPr>
            </w:pPr>
            <w:r>
              <w:rPr>
                <w:rFonts w:ascii="Times New Roman" w:cs="Times New Roman" w:eastAsia="Times New Roman" w:hAnsi="Times New Roman"/>
                <w:sz w:val="18"/>
                <w:szCs w:val="18"/>
                <w:b w:val="1"/>
                <w:bCs w:val="1"/>
                <w:color w:val="auto"/>
              </w:rPr>
              <w:t>20-2590184</w:t>
            </w:r>
          </w:p>
        </w:tc>
      </w:tr>
      <w:tr>
        <w:trPr>
          <w:trHeight w:val="233"/>
        </w:trPr>
        <w:tc>
          <w:tcPr>
            <w:tcW w:w="5360" w:type="dxa"/>
            <w:vAlign w:val="bottom"/>
          </w:tcPr>
          <w:p>
            <w:pPr>
              <w:jc w:val="center"/>
              <w:ind w:right="1011"/>
              <w:spacing w:after="0"/>
              <w:rPr>
                <w:sz w:val="20"/>
                <w:szCs w:val="20"/>
                <w:color w:val="auto"/>
              </w:rPr>
            </w:pPr>
            <w:r>
              <w:rPr>
                <w:rFonts w:ascii="Times New Roman" w:cs="Times New Roman" w:eastAsia="Times New Roman" w:hAnsi="Times New Roman"/>
                <w:sz w:val="18"/>
                <w:szCs w:val="18"/>
                <w:color w:val="auto"/>
                <w:w w:val="98"/>
              </w:rPr>
              <w:t>(State or other jurisdiction of incorporation or organization)</w:t>
            </w:r>
          </w:p>
        </w:tc>
        <w:tc>
          <w:tcPr>
            <w:tcW w:w="3680" w:type="dxa"/>
            <w:vAlign w:val="bottom"/>
          </w:tcPr>
          <w:p>
            <w:pPr>
              <w:jc w:val="center"/>
              <w:ind w:left="1011"/>
              <w:spacing w:after="0"/>
              <w:rPr>
                <w:sz w:val="20"/>
                <w:szCs w:val="20"/>
                <w:color w:val="auto"/>
              </w:rPr>
            </w:pPr>
            <w:r>
              <w:rPr>
                <w:rFonts w:ascii="Times New Roman" w:cs="Times New Roman" w:eastAsia="Times New Roman" w:hAnsi="Times New Roman"/>
                <w:sz w:val="18"/>
                <w:szCs w:val="18"/>
                <w:color w:val="auto"/>
                <w:w w:val="98"/>
              </w:rPr>
              <w:t>(I.R.S. Employer Identification No.)</w:t>
            </w:r>
          </w:p>
        </w:tc>
      </w:tr>
      <w:tr>
        <w:trPr>
          <w:trHeight w:val="409"/>
        </w:trPr>
        <w:tc>
          <w:tcPr>
            <w:tcW w:w="5360" w:type="dxa"/>
            <w:vAlign w:val="bottom"/>
          </w:tcPr>
          <w:p>
            <w:pPr>
              <w:jc w:val="center"/>
              <w:ind w:right="991"/>
              <w:spacing w:after="0"/>
              <w:rPr>
                <w:sz w:val="20"/>
                <w:szCs w:val="20"/>
                <w:color w:val="auto"/>
              </w:rPr>
            </w:pPr>
            <w:r>
              <w:rPr>
                <w:rFonts w:ascii="Times New Roman" w:cs="Times New Roman" w:eastAsia="Times New Roman" w:hAnsi="Times New Roman"/>
                <w:sz w:val="18"/>
                <w:szCs w:val="18"/>
                <w:b w:val="1"/>
                <w:bCs w:val="1"/>
                <w:color w:val="auto"/>
                <w:w w:val="98"/>
              </w:rPr>
              <w:t>9715 Key West Avenue, Rockville, MD</w:t>
            </w:r>
          </w:p>
        </w:tc>
        <w:tc>
          <w:tcPr>
            <w:tcW w:w="3680" w:type="dxa"/>
            <w:vAlign w:val="bottom"/>
          </w:tcPr>
          <w:p>
            <w:pPr>
              <w:jc w:val="right"/>
              <w:ind w:right="971"/>
              <w:spacing w:after="0"/>
              <w:rPr>
                <w:sz w:val="20"/>
                <w:szCs w:val="20"/>
                <w:color w:val="auto"/>
              </w:rPr>
            </w:pPr>
            <w:r>
              <w:rPr>
                <w:rFonts w:ascii="Times New Roman" w:cs="Times New Roman" w:eastAsia="Times New Roman" w:hAnsi="Times New Roman"/>
                <w:sz w:val="18"/>
                <w:szCs w:val="18"/>
                <w:b w:val="1"/>
                <w:bCs w:val="1"/>
                <w:color w:val="auto"/>
              </w:rPr>
              <w:t>20850</w:t>
            </w:r>
          </w:p>
        </w:tc>
      </w:tr>
      <w:tr>
        <w:trPr>
          <w:trHeight w:val="233"/>
        </w:trPr>
        <w:tc>
          <w:tcPr>
            <w:tcW w:w="5360" w:type="dxa"/>
            <w:vAlign w:val="bottom"/>
          </w:tcPr>
          <w:p>
            <w:pPr>
              <w:jc w:val="center"/>
              <w:ind w:right="1011"/>
              <w:spacing w:after="0"/>
              <w:rPr>
                <w:sz w:val="20"/>
                <w:szCs w:val="20"/>
                <w:color w:val="auto"/>
              </w:rPr>
            </w:pPr>
            <w:r>
              <w:rPr>
                <w:rFonts w:ascii="Times New Roman" w:cs="Times New Roman" w:eastAsia="Times New Roman" w:hAnsi="Times New Roman"/>
                <w:sz w:val="18"/>
                <w:szCs w:val="18"/>
                <w:color w:val="auto"/>
                <w:w w:val="98"/>
              </w:rPr>
              <w:t>(Address of principal executive offices)</w:t>
            </w:r>
          </w:p>
        </w:tc>
        <w:tc>
          <w:tcPr>
            <w:tcW w:w="3680" w:type="dxa"/>
            <w:vAlign w:val="bottom"/>
          </w:tcPr>
          <w:p>
            <w:pPr>
              <w:jc w:val="center"/>
              <w:ind w:left="1011"/>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71335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Supernus Pharmaceuticals, Inc. Amended and Restated</w:t>
      </w:r>
    </w:p>
    <w:p>
      <w:pPr>
        <w:spacing w:after="0" w:line="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139700</wp:posOffset>
            </wp:positionV>
            <wp:extent cx="71335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Jack A. Khattar</w:t>
      </w:r>
    </w:p>
    <w:p>
      <w:pPr>
        <w:spacing w:after="0" w:line="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9715 Key West Avenue</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Rockville, Maryland 20850</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(301) 838-2500</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139700</wp:posOffset>
            </wp:positionV>
            <wp:extent cx="71335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Copies of all communications to:</w:t>
      </w:r>
    </w:p>
    <w:p>
      <w:pPr>
        <w:spacing w:after="0" w:line="2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Mark I. Gruhin</w:t>
      </w:r>
    </w:p>
    <w:p>
      <w:pPr>
        <w:spacing w:after="0" w:line="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George A. Naya</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Saul Ewing LLP</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1919 Pennsylvania Avenue N.W.</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Suite 550</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20006-3434</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(202) 333-8800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139700</wp:posOffset>
            </wp:positionV>
            <wp:extent cx="71335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219"/>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80" w:type="dxa"/>
            <w:vAlign w:val="bottom"/>
          </w:tcPr>
          <w:p>
            <w:pPr>
              <w:ind w:left="1500"/>
              <w:spacing w:after="0"/>
              <w:rPr>
                <w:sz w:val="20"/>
                <w:szCs w:val="20"/>
                <w:color w:val="auto"/>
              </w:rPr>
            </w:pPr>
            <w:r>
              <w:rPr>
                <w:rFonts w:ascii="Wingdings" w:cs="Wingdings" w:eastAsia="Wingdings" w:hAnsi="Wingdings"/>
                <w:sz w:val="18"/>
                <w:szCs w:val="18"/>
                <w:b w:val="1"/>
                <w:bCs w:val="1"/>
                <w:color w:val="auto"/>
              </w:rPr>
              <w:t>x</w:t>
            </w: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Accelerated filer</w:t>
            </w:r>
          </w:p>
        </w:tc>
        <w:tc>
          <w:tcPr>
            <w:tcW w:w="2000" w:type="dxa"/>
            <w:vAlign w:val="bottom"/>
          </w:tcPr>
          <w:p>
            <w:pPr>
              <w:ind w:left="1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8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000" w:type="dxa"/>
            <w:vAlign w:val="bottom"/>
          </w:tcPr>
          <w:p>
            <w:pPr>
              <w:ind w:left="1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1"/>
        </w:trPr>
        <w:tc>
          <w:tcPr>
            <w:tcW w:w="3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Emerging growth company</w:t>
            </w:r>
          </w:p>
        </w:tc>
        <w:tc>
          <w:tcPr>
            <w:tcW w:w="2000" w:type="dxa"/>
            <w:vAlign w:val="bottom"/>
          </w:tcPr>
          <w:p>
            <w:pPr>
              <w:ind w:left="18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48" w:lineRule="exact"/>
        <w:rPr>
          <w:sz w:val="24"/>
          <w:szCs w:val="24"/>
          <w:color w:val="auto"/>
        </w:rPr>
      </w:pPr>
    </w:p>
    <w:p>
      <w:pPr>
        <w:ind w:right="20"/>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117475</wp:posOffset>
            </wp:positionV>
            <wp:extent cx="71335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142875</wp:posOffset>
            </wp:positionV>
            <wp:extent cx="71335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584200</wp:posOffset>
            </wp:positionV>
            <wp:extent cx="71335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60"/>
          </w:cols>
          <w:pgMar w:left="320" w:top="468" w:right="31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4" w:lineRule="exact"/>
        <w:rPr>
          <w:sz w:val="20"/>
          <w:szCs w:val="20"/>
          <w:color w:val="auto"/>
        </w:rPr>
      </w:pPr>
    </w:p>
    <w:p>
      <w:pPr>
        <w:jc w:val="both"/>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Registration Statement is being filed in order to effect the registration of an additional 4,000,000 shares of Common Stock of Supernus Pharmaceuticals, Inc. (the “Registrant”) under the Registrant’s Amended and Restated 2021 Equity Incentive Plan (the “Equity Plan”). Following the registration of these additional shares, the Registrant will have registered an aggregate of 19,012,893 shares of Common Stock to be issued under the Equity Plan. The Registrant previously filed Registration Statements on Form S-8 with the Securities and Exchange Commission (the “SEC”) on June 25, 2021 (</w:t>
      </w:r>
      <w:hyperlink r:id="rId19">
        <w:r>
          <w:rPr>
            <w:rFonts w:ascii="Times New Roman" w:cs="Times New Roman" w:eastAsia="Times New Roman" w:hAnsi="Times New Roman"/>
            <w:sz w:val="17"/>
            <w:szCs w:val="17"/>
            <w:u w:val="single" w:color="auto"/>
            <w:color w:val="0000EE"/>
          </w:rPr>
          <w:t>File No. 333-257392</w:t>
        </w:r>
      </w:hyperlink>
      <w:r>
        <w:rPr>
          <w:rFonts w:ascii="Times New Roman" w:cs="Times New Roman" w:eastAsia="Times New Roman" w:hAnsi="Times New Roman"/>
          <w:sz w:val="17"/>
          <w:szCs w:val="17"/>
          <w:color w:val="auto"/>
        </w:rPr>
        <w:t>) and on June 17, 2024 (</w:t>
      </w:r>
      <w:hyperlink r:id="rId20">
        <w:r>
          <w:rPr>
            <w:rFonts w:ascii="Times New Roman" w:cs="Times New Roman" w:eastAsia="Times New Roman" w:hAnsi="Times New Roman"/>
            <w:sz w:val="17"/>
            <w:szCs w:val="17"/>
            <w:u w:val="single" w:color="auto"/>
            <w:color w:val="0000EE"/>
          </w:rPr>
          <w:t>File No. 333-280276</w:t>
        </w:r>
      </w:hyperlink>
      <w:r>
        <w:rPr>
          <w:rFonts w:ascii="Times New Roman" w:cs="Times New Roman" w:eastAsia="Times New Roman" w:hAnsi="Times New Roman"/>
          <w:sz w:val="17"/>
          <w:szCs w:val="17"/>
          <w:color w:val="auto"/>
        </w:rPr>
        <w:t>) to register an aggregate of 15,012,893 shares of Common Stock issuable under the Equity Plan. Pursuant to General Instruction E to Form S-8, the contents of the foregoing earlier registration statements on Form S-8 concerning the Equity Plan filed with the SEC are incorporated herein by reference, except to the extent supplemented, amended or superseded by the information set forth herein.</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permitted by Rule 428 under the Securities Act of 1933, this Registration Statement omits the information specified in Part I of Form S-8. The documents containing the information specified in Part I will be delivered to the participants of the Equity Plan as required by Rule 428(b). Such documents are not being filed with the Commission either as part of this registration statement or as prospectuses or prospectus supplements pursuant to Rule 424 under the Securities Act.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198"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Incorporation of Documents by Reference.</w:t>
      </w:r>
    </w:p>
    <w:p>
      <w:pPr>
        <w:spacing w:after="0" w:line="2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documents listed in clauses 1 through 5 below are incorporated herein by this reference thereto, and all documents subsequently filed (other than respective filings or portions of filings that are furnished, under applicable SEC rules, rather than filed) by the Registrant pursuant to Sections 13(a), 13(c), 14 and 15(d) of the Securities Exchange Act of 1934, as amended, prior to the filing of a post-effective amendment, which indicates that all securities offered have been sold or which deregisters all securities then remaining unsold, shall be deemed to be incorporated by this reference in this registration statement and to be a part hereof from the date of filing of such documents:</w:t>
      </w:r>
    </w:p>
    <w:p>
      <w:pPr>
        <w:spacing w:after="0" w:line="183" w:lineRule="exact"/>
        <w:rPr>
          <w:sz w:val="20"/>
          <w:szCs w:val="20"/>
          <w:color w:val="auto"/>
        </w:rPr>
      </w:pPr>
    </w:p>
    <w:p>
      <w:pPr>
        <w:ind w:left="200" w:hanging="140"/>
        <w:spacing w:after="0"/>
        <w:tabs>
          <w:tab w:leader="none" w:pos="200" w:val="left"/>
        </w:tabs>
        <w:numPr>
          <w:ilvl w:val="0"/>
          <w:numId w:val="1"/>
        </w:numPr>
        <w:rPr>
          <w:rFonts w:ascii="Times New Roman" w:cs="Times New Roman" w:eastAsia="Times New Roman" w:hAnsi="Times New Roman"/>
          <w:sz w:val="18"/>
          <w:szCs w:val="18"/>
          <w:u w:val="single" w:color="auto"/>
          <w:color w:val="0000EE"/>
        </w:rPr>
      </w:pPr>
      <w:hyperlink r:id="rId21">
        <w:r>
          <w:rPr>
            <w:rFonts w:ascii="Times New Roman" w:cs="Times New Roman" w:eastAsia="Times New Roman" w:hAnsi="Times New Roman"/>
            <w:sz w:val="18"/>
            <w:szCs w:val="18"/>
            <w:u w:val="single" w:color="auto"/>
            <w:color w:val="0000EE"/>
          </w:rPr>
          <w:t>The Registrant’s Annual Report on Form 10-K for the fiscal year ended December 31, 2025, filed with the SEC on March 2, 2026;</w:t>
        </w:r>
      </w:hyperlink>
    </w:p>
    <w:p>
      <w:pPr>
        <w:spacing w:after="0" w:line="220" w:lineRule="exact"/>
        <w:rPr>
          <w:sz w:val="20"/>
          <w:szCs w:val="20"/>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hyperlink r:id="rId22">
        <w:r>
          <w:rPr>
            <w:rFonts w:ascii="Times New Roman" w:cs="Times New Roman" w:eastAsia="Times New Roman" w:hAnsi="Times New Roman"/>
            <w:sz w:val="18"/>
            <w:szCs w:val="18"/>
            <w:color w:val="auto"/>
          </w:rPr>
          <w:t xml:space="preserve">The Registrant’s Current Reports on Form 8-K, filed with the SEC on </w:t>
        </w:r>
        <w:r>
          <w:rPr>
            <w:rFonts w:ascii="Times New Roman" w:cs="Times New Roman" w:eastAsia="Times New Roman" w:hAnsi="Times New Roman"/>
            <w:sz w:val="18"/>
            <w:szCs w:val="18"/>
            <w:u w:val="single" w:color="auto"/>
            <w:color w:val="0000EE"/>
          </w:rPr>
          <w:t>January 28,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24, 2026</w:t>
        </w:r>
        <w:r>
          <w:rPr>
            <w:rFonts w:ascii="Times New Roman" w:cs="Times New Roman" w:eastAsia="Times New Roman" w:hAnsi="Times New Roman"/>
            <w:sz w:val="18"/>
            <w:szCs w:val="18"/>
            <w:color w:val="auto"/>
          </w:rPr>
          <w:t xml:space="preserve"> (with reporting under Item 5.02), </w:t>
        </w:r>
        <w:r>
          <w:rPr>
            <w:rFonts w:ascii="Times New Roman" w:cs="Times New Roman" w:eastAsia="Times New Roman" w:hAnsi="Times New Roman"/>
            <w:sz w:val="18"/>
            <w:szCs w:val="18"/>
            <w:u w:val="single" w:color="auto"/>
            <w:color w:val="0000EE"/>
          </w:rPr>
          <w:t>April 7,</w:t>
        </w:r>
      </w:hyperlink>
    </w:p>
    <w:p>
      <w:pPr>
        <w:spacing w:after="0" w:line="26" w:lineRule="exact"/>
        <w:rPr>
          <w:sz w:val="20"/>
          <w:szCs w:val="20"/>
          <w:color w:val="auto"/>
        </w:rPr>
      </w:pPr>
    </w:p>
    <w:p>
      <w:pPr>
        <w:ind w:left="200"/>
        <w:spacing w:after="0"/>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3">
        <w:r>
          <w:rPr>
            <w:rFonts w:ascii="Times New Roman" w:cs="Times New Roman" w:eastAsia="Times New Roman" w:hAnsi="Times New Roman"/>
            <w:sz w:val="18"/>
            <w:szCs w:val="18"/>
            <w:u w:val="single" w:color="auto"/>
            <w:color w:val="0000EE"/>
          </w:rPr>
          <w:t>May 20, 2026</w:t>
        </w:r>
      </w:hyperlink>
      <w:hyperlink r:id="rId22">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24">
        <w:r>
          <w:rPr>
            <w:rFonts w:ascii="Times New Roman" w:cs="Times New Roman" w:eastAsia="Times New Roman" w:hAnsi="Times New Roman"/>
            <w:sz w:val="18"/>
            <w:szCs w:val="18"/>
            <w:u w:val="single" w:color="auto"/>
            <w:color w:val="0000EE"/>
          </w:rPr>
          <w:t>June 18, 2026</w:t>
        </w:r>
      </w:hyperlink>
      <w:hyperlink r:id="rId22">
        <w:r>
          <w:rPr>
            <w:rFonts w:ascii="Times New Roman" w:cs="Times New Roman" w:eastAsia="Times New Roman" w:hAnsi="Times New Roman"/>
            <w:sz w:val="18"/>
            <w:szCs w:val="18"/>
            <w:color w:val="000000"/>
          </w:rPr>
          <w:t>;</w:t>
        </w:r>
      </w:hyperlink>
    </w:p>
    <w:p>
      <w:pPr>
        <w:spacing w:after="0" w:line="202" w:lineRule="exact"/>
        <w:rPr>
          <w:rFonts w:ascii="Times New Roman" w:cs="Times New Roman" w:eastAsia="Times New Roman" w:hAnsi="Times New Roman"/>
          <w:sz w:val="18"/>
          <w:szCs w:val="18"/>
          <w:color w:val="0000EE"/>
        </w:rPr>
      </w:pPr>
    </w:p>
    <w:p>
      <w:pPr>
        <w:ind w:left="220" w:hanging="160"/>
        <w:spacing w:after="0"/>
        <w:tabs>
          <w:tab w:leader="none" w:pos="220" w:val="left"/>
        </w:tabs>
        <w:numPr>
          <w:ilvl w:val="0"/>
          <w:numId w:val="2"/>
        </w:numPr>
        <w:rPr>
          <w:rFonts w:ascii="Times New Roman" w:cs="Times New Roman" w:eastAsia="Times New Roman" w:hAnsi="Times New Roman"/>
          <w:sz w:val="18"/>
          <w:szCs w:val="18"/>
          <w:u w:val="single" w:color="auto"/>
          <w:color w:val="0000EE"/>
        </w:rPr>
      </w:pPr>
      <w:hyperlink r:id="rId25">
        <w:r>
          <w:rPr>
            <w:rFonts w:ascii="Times New Roman" w:cs="Times New Roman" w:eastAsia="Times New Roman" w:hAnsi="Times New Roman"/>
            <w:sz w:val="18"/>
            <w:szCs w:val="18"/>
            <w:u w:val="single" w:color="auto"/>
            <w:color w:val="0000EE"/>
          </w:rPr>
          <w:t>The Registrant’s Quarterly Report on Form 10-Q for the quarter ended March 31, 2026, filed with the SEC on May 5, 2026;</w:t>
        </w:r>
      </w:hyperlink>
    </w:p>
    <w:p>
      <w:pPr>
        <w:spacing w:after="0" w:line="220" w:lineRule="exact"/>
        <w:rPr>
          <w:rFonts w:ascii="Times New Roman" w:cs="Times New Roman" w:eastAsia="Times New Roman" w:hAnsi="Times New Roman"/>
          <w:sz w:val="18"/>
          <w:szCs w:val="18"/>
          <w:color w:val="0000EE"/>
        </w:rPr>
      </w:pPr>
    </w:p>
    <w:p>
      <w:pPr>
        <w:ind w:left="200" w:hanging="133"/>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4.The Registrant’s </w:t>
      </w:r>
      <w:hyperlink r:id="rId26">
        <w:r>
          <w:rPr>
            <w:rFonts w:ascii="Times New Roman" w:cs="Times New Roman" w:eastAsia="Times New Roman" w:hAnsi="Times New Roman"/>
            <w:sz w:val="18"/>
            <w:szCs w:val="18"/>
            <w:u w:val="single" w:color="auto"/>
            <w:color w:val="0000EE"/>
          </w:rPr>
          <w:t>Proxy Statement, dated April 30, 2026, for the Registrant’s 2026 annual meeting of stockholders, filed with the SEC on April 30, 2026;</w:t>
        </w:r>
      </w:hyperlink>
      <w:r>
        <w:rPr>
          <w:rFonts w:ascii="Times New Roman" w:cs="Times New Roman" w:eastAsia="Times New Roman" w:hAnsi="Times New Roman"/>
          <w:sz w:val="18"/>
          <w:szCs w:val="18"/>
          <w:color w:val="auto"/>
        </w:rPr>
        <w:t xml:space="preserve"> and</w:t>
      </w:r>
    </w:p>
    <w:p>
      <w:pPr>
        <w:spacing w:after="0" w:line="163" w:lineRule="exact"/>
        <w:rPr>
          <w:rFonts w:ascii="Times New Roman" w:cs="Times New Roman" w:eastAsia="Times New Roman" w:hAnsi="Times New Roman"/>
          <w:sz w:val="18"/>
          <w:szCs w:val="18"/>
          <w:color w:val="0000EE"/>
        </w:rPr>
      </w:pPr>
    </w:p>
    <w:p>
      <w:pPr>
        <w:ind w:left="200" w:hanging="133"/>
        <w:spacing w:after="0" w:line="277"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5.</w:t>
      </w:r>
      <w:hyperlink r:id="rId27">
        <w:r>
          <w:rPr>
            <w:rFonts w:ascii="Times New Roman" w:cs="Times New Roman" w:eastAsia="Times New Roman" w:hAnsi="Times New Roman"/>
            <w:sz w:val="18"/>
            <w:szCs w:val="18"/>
            <w:color w:val="auto"/>
          </w:rPr>
          <w:t xml:space="preserve">The description of the Registrant’s common stock, $0.001 par value per share, which is contained in the Registrant’s Registration Statement on </w:t>
        </w:r>
        <w:r>
          <w:rPr>
            <w:rFonts w:ascii="Times New Roman" w:cs="Times New Roman" w:eastAsia="Times New Roman" w:hAnsi="Times New Roman"/>
            <w:sz w:val="18"/>
            <w:szCs w:val="18"/>
            <w:u w:val="single" w:color="auto"/>
            <w:color w:val="0000EE"/>
          </w:rPr>
          <w:t>Form S-3</w:t>
        </w:r>
      </w:hyperlink>
      <w:r>
        <w:rPr>
          <w:rFonts w:ascii="Times New Roman" w:cs="Times New Roman" w:eastAsia="Times New Roman" w:hAnsi="Times New Roman"/>
          <w:sz w:val="18"/>
          <w:szCs w:val="18"/>
          <w:color w:val="auto"/>
        </w:rPr>
        <w:t xml:space="preserve"> </w:t>
      </w:r>
      <w:hyperlink r:id="rId27">
        <w:r>
          <w:rPr>
            <w:rFonts w:ascii="Times New Roman" w:cs="Times New Roman" w:eastAsia="Times New Roman" w:hAnsi="Times New Roman"/>
            <w:sz w:val="18"/>
            <w:szCs w:val="18"/>
            <w:u w:val="single" w:color="auto"/>
            <w:color w:val="0000EE"/>
          </w:rPr>
          <w:t>filed with the SEC on December 3, 2014</w:t>
        </w:r>
        <w:r>
          <w:rPr>
            <w:rFonts w:ascii="Times New Roman" w:cs="Times New Roman" w:eastAsia="Times New Roman" w:hAnsi="Times New Roman"/>
            <w:sz w:val="18"/>
            <w:szCs w:val="18"/>
            <w:color w:val="000000"/>
          </w:rPr>
          <w:t>, including any subsequently filed amendments and reports updating such description.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403860</wp:posOffset>
            </wp:positionV>
            <wp:extent cx="71335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2" w:name="page3"/>
    <w:bookmarkEnd w:id="2"/>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Description of Securities.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Interests of Named Experts and Counsel.</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2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Registrant’s amended and restated certificate of incorporation contains provisions that eliminate, to the maximum extent permitted by the General Corporation Law of the State of Delaware, the personal liability of directors and executive officers for monetary damages for breach of their fiduciary duties as a director or officer. The Registrant’s amended and restated certificate of incorporation and bylaws provides that the Registrant shall indemnify its directors and executive officers and may indemnify its employees and other agents to the fullest extent permitted by the General Corporation Law of the State of Delaware.</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Section 145 of the General Corporation Law of the State of Delaware provides that a corporation may indemnify any person made a party to an action by reason of the fact that such person was a director, officer, employee or agent of the corporation or is or was serving at the request of the corporation in such a role for another entity, against expenses (including attorneys' fees), judgments, fines and amounts paid in settlement actually and reasonably incurred by the person in connection with such action if the person acted in good faith and in a manner the person reasonably believed to be in, or not opposed to, the best interests of the corporation and, with respect to any criminal action or proceeding, had no reasonable cause to believe the person’s conduct was unlawful, except that, in the case of an action by or in right of the corporation, no indemnification may generally be made in respect of any claim as to which such person is adjudged to be liable to the corporation unless, upon application to the Delaware Court of Chancery (the “Court”), the Court determines that such person is fairly and reasonably entitled to indemnity for such expenses.</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Registrant has entered into indemnification agreements with each of its directors and executive officers, in addition to the indemnification provided for in the Registrant’s amended and restated certificate of incorporation and bylaws, and intends to enter into indemnification agreements with any new directors and executive officers in the future.</w:t>
      </w:r>
    </w:p>
    <w:p>
      <w:pPr>
        <w:spacing w:after="0" w:line="17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Registrant has purchased and intends to maintain insurance on behalf of any person who is or was a director or officer of the Registrant against any loss arising from any claim asserted against him or her and incurred by him or her in any such capacity, subject to certain exclusions.</w:t>
      </w:r>
    </w:p>
    <w:p>
      <w:pPr>
        <w:spacing w:after="0" w:line="15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Exemption from Registration Claimed.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440055</wp:posOffset>
            </wp:positionV>
            <wp:extent cx="71335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3" w:name="page4"/>
    <w:bookmarkEnd w:id="3"/>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a list of exhibits filed with, or incorporated by reference into, this Registration Statement:</w:t>
      </w:r>
    </w:p>
    <w:p>
      <w:pPr>
        <w:sectPr>
          <w:pgSz w:w="11900" w:h="16838" w:orient="portrait"/>
          <w:cols w:equalWidth="0" w:num="1">
            <w:col w:w="11240"/>
          </w:cols>
          <w:pgMar w:left="320" w:top="892" w:right="339" w:bottom="1440" w:gutter="0" w:footer="0" w:header="0"/>
        </w:sect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jc w:val="center"/>
        <w:ind w:right="4820"/>
        <w:spacing w:after="0"/>
        <w:rPr>
          <w:sz w:val="20"/>
          <w:szCs w:val="20"/>
          <w:color w:val="auto"/>
        </w:rPr>
      </w:pP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-3072130</wp:posOffset>
            </wp:positionH>
            <wp:positionV relativeFrom="paragraph">
              <wp:posOffset>26035</wp:posOffset>
            </wp:positionV>
            <wp:extent cx="66929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6692900" cy="8255"/>
                    </a:xfrm>
                    <a:prstGeom prst="rect">
                      <a:avLst/>
                    </a:prstGeom>
                    <a:noFill/>
                  </pic:spPr>
                </pic:pic>
              </a:graphicData>
            </a:graphic>
          </wp:anchor>
        </w:drawing>
      </w:r>
    </w:p>
    <w:p>
      <w:pPr>
        <w:spacing w:after="0" w:line="41" w:lineRule="exact"/>
        <w:rPr>
          <w:sz w:val="20"/>
          <w:szCs w:val="20"/>
          <w:color w:val="auto"/>
        </w:rPr>
      </w:pPr>
    </w:p>
    <w:p>
      <w:pPr>
        <w:sectPr>
          <w:pgSz w:w="11900" w:h="16838" w:orient="portrait"/>
          <w:cols w:equalWidth="0" w:num="2">
            <w:col w:w="4820" w:space="720"/>
            <w:col w:w="5700"/>
          </w:cols>
          <w:pgMar w:left="320" w:top="892" w:right="339" w:bottom="1440" w:gutter="0" w:footer="0" w:header="0"/>
          <w:type w:val="continuous"/>
        </w:sectPr>
      </w:pPr>
    </w:p>
    <w:p>
      <w:pPr>
        <w:ind w:left="700" w:hanging="694"/>
        <w:spacing w:after="0" w:line="271" w:lineRule="auto"/>
        <w:tabs>
          <w:tab w:leader="none" w:pos="680" w:val="left"/>
        </w:tabs>
        <w:rPr>
          <w:rFonts w:ascii="Times New Roman" w:cs="Times New Roman" w:eastAsia="Times New Roman" w:hAnsi="Times New Roman"/>
          <w:sz w:val="18"/>
          <w:szCs w:val="18"/>
          <w:u w:val="single" w:color="auto"/>
          <w:color w:val="0000EE"/>
        </w:rPr>
      </w:pPr>
      <w:hyperlink r:id="rId31">
        <w:r>
          <w:rPr>
            <w:rFonts w:ascii="Times New Roman" w:cs="Times New Roman" w:eastAsia="Times New Roman" w:hAnsi="Times New Roman"/>
            <w:sz w:val="18"/>
            <w:szCs w:val="18"/>
            <w:u w:val="single" w:color="auto"/>
            <w:color w:val="0000EE"/>
          </w:rPr>
          <w:t>4.1</w:t>
        </w:r>
      </w:hyperlink>
      <w:r>
        <w:rPr>
          <w:rFonts w:ascii="Times New Roman" w:cs="Times New Roman" w:eastAsia="Times New Roman" w:hAnsi="Times New Roman"/>
          <w:sz w:val="18"/>
          <w:szCs w:val="18"/>
          <w:u w:val="single" w:color="auto"/>
          <w:color w:val="0000EE"/>
        </w:rPr>
        <w:tab/>
      </w:r>
      <w:hyperlink r:id="rId31">
        <w:r>
          <w:rPr>
            <w:rFonts w:ascii="Times New Roman" w:cs="Times New Roman" w:eastAsia="Times New Roman" w:hAnsi="Times New Roman"/>
            <w:sz w:val="18"/>
            <w:szCs w:val="18"/>
            <w:u w:val="single" w:color="auto"/>
            <w:color w:val="0000EE"/>
          </w:rPr>
          <w:t>Amended and Restated Certificate of Incorporation of the Registrant (incorporated by reference to Exhibit 3.1 to the Company’s Registration</w:t>
        </w:r>
      </w:hyperlink>
      <w:r>
        <w:rPr>
          <w:rFonts w:ascii="Times New Roman" w:cs="Times New Roman" w:eastAsia="Times New Roman" w:hAnsi="Times New Roman"/>
          <w:sz w:val="18"/>
          <w:szCs w:val="18"/>
          <w:u w:val="single" w:color="auto"/>
          <w:color w:val="0000EE"/>
        </w:rPr>
        <w:t xml:space="preserve"> </w:t>
      </w:r>
      <w:hyperlink r:id="rId31">
        <w:r>
          <w:rPr>
            <w:rFonts w:ascii="Times New Roman" w:cs="Times New Roman" w:eastAsia="Times New Roman" w:hAnsi="Times New Roman"/>
            <w:sz w:val="18"/>
            <w:szCs w:val="18"/>
            <w:u w:val="single" w:color="auto"/>
            <w:color w:val="0000EE"/>
          </w:rPr>
          <w:t>Statement on Form S-1, File No. 333-184930, filed with the SEC on November 14, 2012).</w:t>
        </w:r>
      </w:hyperlink>
    </w:p>
    <w:p>
      <w:pPr>
        <w:spacing w:after="0" w:line="168" w:lineRule="exact"/>
        <w:rPr>
          <w:rFonts w:ascii="Times New Roman" w:cs="Times New Roman" w:eastAsia="Times New Roman" w:hAnsi="Times New Roman"/>
          <w:sz w:val="18"/>
          <w:szCs w:val="18"/>
          <w:u w:val="single" w:color="auto"/>
          <w:color w:val="0000EE"/>
        </w:rPr>
      </w:pPr>
    </w:p>
    <w:p>
      <w:pPr>
        <w:ind w:left="700" w:hanging="694"/>
        <w:spacing w:after="0" w:line="277" w:lineRule="auto"/>
        <w:tabs>
          <w:tab w:leader="none" w:pos="680" w:val="left"/>
        </w:tabs>
        <w:rPr>
          <w:rFonts w:ascii="Times New Roman" w:cs="Times New Roman" w:eastAsia="Times New Roman" w:hAnsi="Times New Roman"/>
          <w:sz w:val="18"/>
          <w:szCs w:val="18"/>
          <w:u w:val="single" w:color="auto"/>
          <w:color w:val="0000EE"/>
        </w:rPr>
      </w:pPr>
      <w:hyperlink r:id="rId32">
        <w:r>
          <w:rPr>
            <w:rFonts w:ascii="Times New Roman" w:cs="Times New Roman" w:eastAsia="Times New Roman" w:hAnsi="Times New Roman"/>
            <w:sz w:val="18"/>
            <w:szCs w:val="18"/>
            <w:u w:val="single" w:color="auto"/>
            <w:color w:val="0000EE"/>
          </w:rPr>
          <w:t>4.2</w:t>
        </w:r>
      </w:hyperlink>
      <w:r>
        <w:rPr>
          <w:rFonts w:ascii="Times New Roman" w:cs="Times New Roman" w:eastAsia="Times New Roman" w:hAnsi="Times New Roman"/>
          <w:sz w:val="18"/>
          <w:szCs w:val="18"/>
          <w:u w:val="single" w:color="auto"/>
          <w:color w:val="0000EE"/>
        </w:rPr>
        <w:tab/>
      </w:r>
      <w:hyperlink r:id="rId32">
        <w:r>
          <w:rPr>
            <w:rFonts w:ascii="Times New Roman" w:cs="Times New Roman" w:eastAsia="Times New Roman" w:hAnsi="Times New Roman"/>
            <w:sz w:val="18"/>
            <w:szCs w:val="18"/>
            <w:u w:val="single" w:color="auto"/>
            <w:color w:val="0000EE"/>
          </w:rPr>
          <w:t>Amended and Restated By-Laws of the Registrant (incorporated by reference to Exhibit 3.2 to the Company’s Registration Statement on Form S-1,</w:t>
        </w:r>
      </w:hyperlink>
      <w:r>
        <w:rPr>
          <w:rFonts w:ascii="Times New Roman" w:cs="Times New Roman" w:eastAsia="Times New Roman" w:hAnsi="Times New Roman"/>
          <w:sz w:val="18"/>
          <w:szCs w:val="18"/>
          <w:u w:val="single" w:color="auto"/>
          <w:color w:val="0000EE"/>
        </w:rPr>
        <w:t xml:space="preserve"> </w:t>
      </w:r>
      <w:hyperlink r:id="rId32">
        <w:r>
          <w:rPr>
            <w:rFonts w:ascii="Times New Roman" w:cs="Times New Roman" w:eastAsia="Times New Roman" w:hAnsi="Times New Roman"/>
            <w:sz w:val="18"/>
            <w:szCs w:val="18"/>
            <w:u w:val="single" w:color="auto"/>
            <w:color w:val="0000EE"/>
          </w:rPr>
          <w:t>File No. 333-184930, as amended on November 26, 2012).</w:t>
        </w:r>
      </w:hyperlink>
    </w:p>
    <w:p>
      <w:pPr>
        <w:spacing w:after="0" w:line="163" w:lineRule="exact"/>
        <w:rPr>
          <w:rFonts w:ascii="Times New Roman" w:cs="Times New Roman" w:eastAsia="Times New Roman" w:hAnsi="Times New Roman"/>
          <w:sz w:val="18"/>
          <w:szCs w:val="18"/>
          <w:u w:val="single" w:color="auto"/>
          <w:color w:val="0000EE"/>
        </w:rPr>
      </w:pPr>
    </w:p>
    <w:p>
      <w:pPr>
        <w:ind w:left="700" w:hanging="694"/>
        <w:spacing w:after="0" w:line="277" w:lineRule="auto"/>
        <w:tabs>
          <w:tab w:leader="none" w:pos="680" w:val="left"/>
        </w:tabs>
        <w:rPr>
          <w:rFonts w:ascii="Times New Roman" w:cs="Times New Roman" w:eastAsia="Times New Roman" w:hAnsi="Times New Roman"/>
          <w:sz w:val="18"/>
          <w:szCs w:val="18"/>
          <w:u w:val="single" w:color="auto"/>
          <w:color w:val="0000EE"/>
        </w:rPr>
      </w:pPr>
      <w:hyperlink r:id="rId33">
        <w:r>
          <w:rPr>
            <w:rFonts w:ascii="Times New Roman" w:cs="Times New Roman" w:eastAsia="Times New Roman" w:hAnsi="Times New Roman"/>
            <w:sz w:val="18"/>
            <w:szCs w:val="18"/>
            <w:u w:val="single" w:color="auto"/>
            <w:color w:val="0000EE"/>
          </w:rPr>
          <w:t>4.3</w:t>
        </w:r>
      </w:hyperlink>
      <w:r>
        <w:rPr>
          <w:rFonts w:ascii="Times New Roman" w:cs="Times New Roman" w:eastAsia="Times New Roman" w:hAnsi="Times New Roman"/>
          <w:sz w:val="18"/>
          <w:szCs w:val="18"/>
          <w:u w:val="single" w:color="auto"/>
          <w:color w:val="0000EE"/>
        </w:rPr>
        <w:tab/>
      </w:r>
      <w:hyperlink r:id="rId33">
        <w:r>
          <w:rPr>
            <w:rFonts w:ascii="Times New Roman" w:cs="Times New Roman" w:eastAsia="Times New Roman" w:hAnsi="Times New Roman"/>
            <w:sz w:val="18"/>
            <w:szCs w:val="18"/>
            <w:u w:val="single" w:color="auto"/>
            <w:color w:val="0000EE"/>
          </w:rPr>
          <w:t>Supernus Pharmaceuticals, Inc. Amended and Restated 2021 Equity Incentive Plan (previously filed as Appendix A to the Registrant’s Proxy</w:t>
        </w:r>
      </w:hyperlink>
      <w:r>
        <w:rPr>
          <w:rFonts w:ascii="Times New Roman" w:cs="Times New Roman" w:eastAsia="Times New Roman" w:hAnsi="Times New Roman"/>
          <w:sz w:val="18"/>
          <w:szCs w:val="18"/>
          <w:u w:val="single" w:color="auto"/>
          <w:color w:val="0000EE"/>
        </w:rPr>
        <w:t xml:space="preserve"> </w:t>
      </w:r>
      <w:hyperlink r:id="rId33">
        <w:r>
          <w:rPr>
            <w:rFonts w:ascii="Times New Roman" w:cs="Times New Roman" w:eastAsia="Times New Roman" w:hAnsi="Times New Roman"/>
            <w:sz w:val="18"/>
            <w:szCs w:val="18"/>
            <w:u w:val="single" w:color="auto"/>
            <w:color w:val="0000EE"/>
          </w:rPr>
          <w:t>Statement dated April 29, 2024 relating to the Registrant’s 2024 Annual Meeting of Stockholders, incorporated herein by reference).</w:t>
        </w:r>
      </w:hyperlink>
    </w:p>
    <w:p>
      <w:pPr>
        <w:spacing w:after="0" w:line="163" w:lineRule="exact"/>
        <w:rPr>
          <w:rFonts w:ascii="Times New Roman" w:cs="Times New Roman" w:eastAsia="Times New Roman" w:hAnsi="Times New Roman"/>
          <w:sz w:val="18"/>
          <w:szCs w:val="18"/>
          <w:u w:val="single" w:color="auto"/>
          <w:color w:val="0000EE"/>
        </w:rPr>
      </w:pPr>
    </w:p>
    <w:p>
      <w:pPr>
        <w:spacing w:after="0"/>
        <w:tabs>
          <w:tab w:leader="none" w:pos="680" w:val="left"/>
        </w:tabs>
        <w:rPr>
          <w:sz w:val="20"/>
          <w:szCs w:val="20"/>
          <w:color w:val="auto"/>
        </w:rPr>
      </w:pPr>
      <w:r>
        <w:rPr>
          <w:rFonts w:ascii="Times New Roman" w:cs="Times New Roman" w:eastAsia="Times New Roman" w:hAnsi="Times New Roman"/>
          <w:sz w:val="18"/>
          <w:szCs w:val="18"/>
          <w:u w:val="single" w:color="auto"/>
          <w:color w:val="0000EE"/>
        </w:rPr>
        <w:t>5.1</w:t>
      </w:r>
      <w:r>
        <w:rPr>
          <w:sz w:val="20"/>
          <w:szCs w:val="20"/>
          <w:color w:val="auto"/>
        </w:rPr>
        <w:tab/>
      </w:r>
      <w:r>
        <w:rPr>
          <w:rFonts w:ascii="Times New Roman" w:cs="Times New Roman" w:eastAsia="Times New Roman" w:hAnsi="Times New Roman"/>
          <w:sz w:val="17"/>
          <w:szCs w:val="17"/>
          <w:u w:val="single" w:color="auto"/>
          <w:color w:val="0000EE"/>
        </w:rPr>
        <w:t>Opinion of Saul Ewing LLP.</w:t>
      </w:r>
    </w:p>
    <w:p>
      <w:pPr>
        <w:spacing w:after="0" w:line="220" w:lineRule="exact"/>
        <w:rPr>
          <w:rFonts w:ascii="Times New Roman" w:cs="Times New Roman" w:eastAsia="Times New Roman" w:hAnsi="Times New Roman"/>
          <w:sz w:val="18"/>
          <w:szCs w:val="18"/>
          <w:u w:val="single" w:color="auto"/>
          <w:color w:val="0000EE"/>
        </w:rPr>
      </w:pPr>
    </w:p>
    <w:p>
      <w:pPr>
        <w:spacing w:after="0"/>
        <w:tabs>
          <w:tab w:leader="none" w:pos="680" w:val="left"/>
        </w:tabs>
        <w:rPr>
          <w:sz w:val="20"/>
          <w:szCs w:val="20"/>
          <w:color w:val="auto"/>
        </w:rPr>
      </w:pPr>
      <w:r>
        <w:rPr>
          <w:rFonts w:ascii="Times New Roman" w:cs="Times New Roman" w:eastAsia="Times New Roman" w:hAnsi="Times New Roman"/>
          <w:sz w:val="18"/>
          <w:szCs w:val="18"/>
          <w:u w:val="single" w:color="auto"/>
          <w:color w:val="0000EE"/>
        </w:rPr>
        <w:t>23.1</w:t>
      </w:r>
      <w:r>
        <w:rPr>
          <w:sz w:val="20"/>
          <w:szCs w:val="20"/>
          <w:color w:val="auto"/>
        </w:rPr>
        <w:tab/>
      </w:r>
      <w:r>
        <w:rPr>
          <w:rFonts w:ascii="Times New Roman" w:cs="Times New Roman" w:eastAsia="Times New Roman" w:hAnsi="Times New Roman"/>
          <w:sz w:val="17"/>
          <w:szCs w:val="17"/>
          <w:u w:val="single" w:color="auto"/>
          <w:color w:val="0000EE"/>
        </w:rPr>
        <w:t>Consent of KPMG LLP.</w:t>
      </w:r>
    </w:p>
    <w:p>
      <w:pPr>
        <w:spacing w:after="0" w:line="220" w:lineRule="exact"/>
        <w:rPr>
          <w:rFonts w:ascii="Times New Roman" w:cs="Times New Roman" w:eastAsia="Times New Roman" w:hAnsi="Times New Roman"/>
          <w:sz w:val="18"/>
          <w:szCs w:val="18"/>
          <w:u w:val="single" w:color="auto"/>
          <w:color w:val="0000EE"/>
        </w:rPr>
      </w:pPr>
    </w:p>
    <w:p>
      <w:pPr>
        <w:spacing w:after="0"/>
        <w:tabs>
          <w:tab w:leader="none" w:pos="680" w:val="left"/>
        </w:tabs>
        <w:rPr>
          <w:sz w:val="20"/>
          <w:szCs w:val="20"/>
          <w:color w:val="auto"/>
        </w:rPr>
      </w:pPr>
      <w:r>
        <w:rPr>
          <w:rFonts w:ascii="Times New Roman" w:cs="Times New Roman" w:eastAsia="Times New Roman" w:hAnsi="Times New Roman"/>
          <w:sz w:val="18"/>
          <w:szCs w:val="18"/>
          <w:u w:val="single" w:color="auto"/>
          <w:color w:val="0000EE"/>
        </w:rPr>
        <w:t>23.2</w:t>
      </w:r>
      <w:r>
        <w:rPr>
          <w:sz w:val="20"/>
          <w:szCs w:val="20"/>
          <w:color w:val="auto"/>
        </w:rPr>
        <w:tab/>
      </w:r>
      <w:r>
        <w:rPr>
          <w:rFonts w:ascii="Times New Roman" w:cs="Times New Roman" w:eastAsia="Times New Roman" w:hAnsi="Times New Roman"/>
          <w:sz w:val="17"/>
          <w:szCs w:val="17"/>
          <w:u w:val="single" w:color="auto"/>
          <w:color w:val="0000EE"/>
        </w:rPr>
        <w:t>Consent of Saul Ewing LLP (included in the opinion filed as Exhibit 5.1 to this Registration Statement).</w:t>
      </w:r>
    </w:p>
    <w:p>
      <w:pPr>
        <w:spacing w:after="0" w:line="220" w:lineRule="exact"/>
        <w:rPr>
          <w:rFonts w:ascii="Times New Roman" w:cs="Times New Roman" w:eastAsia="Times New Roman" w:hAnsi="Times New Roman"/>
          <w:sz w:val="18"/>
          <w:szCs w:val="18"/>
          <w:u w:val="single" w:color="auto"/>
          <w:color w:val="0000EE"/>
        </w:rPr>
      </w:pPr>
    </w:p>
    <w:p>
      <w:pPr>
        <w:spacing w:after="0"/>
        <w:tabs>
          <w:tab w:leader="none" w:pos="680" w:val="left"/>
        </w:tabs>
        <w:rPr>
          <w:sz w:val="20"/>
          <w:szCs w:val="20"/>
          <w:color w:val="auto"/>
        </w:rPr>
      </w:pPr>
      <w:r>
        <w:rPr>
          <w:rFonts w:ascii="Times New Roman" w:cs="Times New Roman" w:eastAsia="Times New Roman" w:hAnsi="Times New Roman"/>
          <w:sz w:val="18"/>
          <w:szCs w:val="18"/>
          <w:u w:val="single" w:color="auto"/>
          <w:color w:val="0000EE"/>
        </w:rPr>
        <w:t>24.1</w:t>
      </w:r>
      <w:r>
        <w:rPr>
          <w:sz w:val="20"/>
          <w:szCs w:val="20"/>
          <w:color w:val="auto"/>
        </w:rPr>
        <w:tab/>
      </w:r>
      <w:r>
        <w:rPr>
          <w:rFonts w:ascii="Times New Roman" w:cs="Times New Roman" w:eastAsia="Times New Roman" w:hAnsi="Times New Roman"/>
          <w:sz w:val="17"/>
          <w:szCs w:val="17"/>
          <w:u w:val="single" w:color="auto"/>
          <w:color w:val="0000EE"/>
        </w:rPr>
        <w:t>Power of Attorney (included on signature page of this Registration Statement).</w:t>
      </w:r>
    </w:p>
    <w:p>
      <w:pPr>
        <w:spacing w:after="0" w:line="220" w:lineRule="exact"/>
        <w:rPr>
          <w:rFonts w:ascii="Times New Roman" w:cs="Times New Roman" w:eastAsia="Times New Roman" w:hAnsi="Times New Roman"/>
          <w:sz w:val="18"/>
          <w:szCs w:val="18"/>
          <w:u w:val="single" w:color="auto"/>
          <w:color w:val="0000EE"/>
        </w:rPr>
      </w:pPr>
    </w:p>
    <w:p>
      <w:pPr>
        <w:spacing w:after="0"/>
        <w:tabs>
          <w:tab w:leader="none" w:pos="680" w:val="left"/>
        </w:tabs>
        <w:rPr>
          <w:sz w:val="20"/>
          <w:szCs w:val="20"/>
          <w:color w:val="auto"/>
        </w:rPr>
      </w:pPr>
      <w:r>
        <w:rPr>
          <w:rFonts w:ascii="Times New Roman" w:cs="Times New Roman" w:eastAsia="Times New Roman" w:hAnsi="Times New Roman"/>
          <w:sz w:val="18"/>
          <w:szCs w:val="18"/>
          <w:u w:val="single" w:color="auto"/>
          <w:color w:val="0000EE"/>
        </w:rPr>
        <w:t>107</w:t>
      </w:r>
      <w:r>
        <w:rPr>
          <w:sz w:val="20"/>
          <w:szCs w:val="20"/>
          <w:color w:val="auto"/>
        </w:rPr>
        <w:tab/>
      </w:r>
      <w:r>
        <w:rPr>
          <w:rFonts w:ascii="Times New Roman" w:cs="Times New Roman" w:eastAsia="Times New Roman" w:hAnsi="Times New Roman"/>
          <w:sz w:val="18"/>
          <w:szCs w:val="18"/>
          <w:u w:val="single" w:color="auto"/>
          <w:color w:val="0000EE"/>
        </w:rPr>
        <w:t>Filing Fee Table (filed herewith)</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4445</wp:posOffset>
            </wp:positionH>
            <wp:positionV relativeFrom="paragraph">
              <wp:posOffset>440055</wp:posOffset>
            </wp:positionV>
            <wp:extent cx="71335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type w:val="continuous"/>
        </w:sectPr>
      </w:pPr>
    </w:p>
    <w:bookmarkStart w:id="4" w:name="page5"/>
    <w:bookmarkEnd w:id="4"/>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Undertakings</w:t>
      </w:r>
    </w:p>
    <w:p>
      <w:pPr>
        <w:spacing w:after="0" w:line="224" w:lineRule="exact"/>
        <w:rPr>
          <w:sz w:val="20"/>
          <w:szCs w:val="20"/>
          <w:color w:val="auto"/>
        </w:rPr>
      </w:pPr>
    </w:p>
    <w:p>
      <w:pPr>
        <w:ind w:left="240" w:hanging="233"/>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0" w:lineRule="exact"/>
        <w:rPr>
          <w:rFonts w:ascii="Times New Roman" w:cs="Times New Roman" w:eastAsia="Times New Roman" w:hAnsi="Times New Roman"/>
          <w:sz w:val="18"/>
          <w:szCs w:val="18"/>
          <w:color w:val="auto"/>
        </w:rPr>
      </w:pPr>
    </w:p>
    <w:p>
      <w:pPr>
        <w:ind w:left="1220" w:hanging="251"/>
        <w:spacing w:after="0"/>
        <w:tabs>
          <w:tab w:leader="none" w:pos="12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 To include any prospectus required by Section 10(a)(3) of the Securities Act of 1933;</w:t>
      </w:r>
    </w:p>
    <w:p>
      <w:pPr>
        <w:spacing w:after="0" w:line="220" w:lineRule="exact"/>
        <w:rPr>
          <w:sz w:val="20"/>
          <w:szCs w:val="20"/>
          <w:color w:val="auto"/>
        </w:rPr>
      </w:pPr>
    </w:p>
    <w:p>
      <w:pPr>
        <w:jc w:val="both"/>
        <w:ind w:left="960" w:firstLine="321"/>
        <w:spacing w:after="0" w:line="252" w:lineRule="auto"/>
        <w:rPr>
          <w:sz w:val="20"/>
          <w:szCs w:val="20"/>
          <w:color w:val="auto"/>
        </w:rPr>
      </w:pPr>
      <w:r>
        <w:rPr>
          <w:rFonts w:ascii="Times New Roman" w:cs="Times New Roman" w:eastAsia="Times New Roman" w:hAnsi="Times New Roman"/>
          <w:sz w:val="18"/>
          <w:szCs w:val="18"/>
          <w:color w:val="auto"/>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89" w:lineRule="exact"/>
        <w:rPr>
          <w:sz w:val="20"/>
          <w:szCs w:val="20"/>
          <w:color w:val="auto"/>
        </w:rPr>
      </w:pPr>
    </w:p>
    <w:p>
      <w:pPr>
        <w:jc w:val="both"/>
        <w:ind w:left="960" w:firstLine="321"/>
        <w:spacing w:after="0" w:line="277" w:lineRule="auto"/>
        <w:rPr>
          <w:sz w:val="20"/>
          <w:szCs w:val="20"/>
          <w:color w:val="auto"/>
        </w:rPr>
      </w:pPr>
      <w:r>
        <w:rPr>
          <w:rFonts w:ascii="Times New Roman" w:cs="Times New Roman" w:eastAsia="Times New Roman" w:hAnsi="Times New Roman"/>
          <w:sz w:val="18"/>
          <w:szCs w:val="18"/>
          <w:color w:val="auto"/>
        </w:rPr>
        <w:t>(iii) To include any material information with respect to the plan of distribution not previously disclosed in the registration statement or any material change to such information in the registration statement;</w:t>
      </w:r>
    </w:p>
    <w:p>
      <w:pPr>
        <w:spacing w:after="0" w:line="161" w:lineRule="exact"/>
        <w:rPr>
          <w:sz w:val="20"/>
          <w:szCs w:val="20"/>
          <w:color w:val="auto"/>
        </w:rPr>
      </w:pPr>
    </w:p>
    <w:p>
      <w:pPr>
        <w:jc w:val="both"/>
        <w:ind w:left="640"/>
        <w:spacing w:after="0" w:line="263"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do not apply if the registration statement is on Form S-8 and the information required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included in a post-effective amendment by those paragraphs is contained in periodic reports filed with or furnished to the SEC by the Registrant pursuant to Section 13 or 15(d) of the Securities Exchange Act of 1934 that are incorporated by reference in the registration statement.</w:t>
      </w:r>
    </w:p>
    <w:p>
      <w:pPr>
        <w:spacing w:after="0" w:line="176" w:lineRule="exact"/>
        <w:rPr>
          <w:sz w:val="20"/>
          <w:szCs w:val="20"/>
          <w:color w:val="auto"/>
        </w:rPr>
      </w:pPr>
    </w:p>
    <w:p>
      <w:pPr>
        <w:jc w:val="both"/>
        <w:ind w:left="640" w:firstLine="321"/>
        <w:spacing w:after="0" w:line="262" w:lineRule="auto"/>
        <w:rPr>
          <w:sz w:val="20"/>
          <w:szCs w:val="20"/>
          <w:color w:val="auto"/>
        </w:rPr>
      </w:pPr>
      <w:r>
        <w:rPr>
          <w:rFonts w:ascii="Times New Roman" w:cs="Times New Roman" w:eastAsia="Times New Roman" w:hAnsi="Times New Roman"/>
          <w:sz w:val="18"/>
          <w:szCs w:val="18"/>
          <w:color w:val="auto"/>
        </w:rPr>
        <w:t xml:space="preserve">(2)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77" w:lineRule="exact"/>
        <w:rPr>
          <w:sz w:val="20"/>
          <w:szCs w:val="20"/>
          <w:color w:val="auto"/>
        </w:rPr>
      </w:pPr>
    </w:p>
    <w:p>
      <w:pPr>
        <w:jc w:val="both"/>
        <w:ind w:left="640" w:firstLine="321"/>
        <w:spacing w:after="0" w:line="277" w:lineRule="auto"/>
        <w:rPr>
          <w:sz w:val="20"/>
          <w:szCs w:val="20"/>
          <w:color w:val="auto"/>
        </w:rPr>
      </w:pPr>
      <w:r>
        <w:rPr>
          <w:rFonts w:ascii="Times New Roman" w:cs="Times New Roman" w:eastAsia="Times New Roman" w:hAnsi="Times New Roman"/>
          <w:sz w:val="18"/>
          <w:szCs w:val="18"/>
          <w:color w:val="auto"/>
        </w:rPr>
        <w:t>(3) To remove from registration by means of a post-effective amendment any of the securities being registered which remain unsold at the termination of the offering.</w:t>
      </w:r>
    </w:p>
    <w:p>
      <w:pPr>
        <w:spacing w:after="0" w:line="1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(b) 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 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281940</wp:posOffset>
            </wp:positionV>
            <wp:extent cx="71335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Rockville, State of Maryland, on June 22, 2026.</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Jack A. Khattar</w:t>
            </w:r>
          </w:p>
        </w:tc>
      </w:tr>
      <w:tr>
        <w:trPr>
          <w:trHeight w:val="189"/>
        </w:trPr>
        <w:tc>
          <w:tcPr>
            <w:tcW w:w="5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50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Jack A. Khattar</w:t>
            </w:r>
          </w:p>
        </w:tc>
      </w:tr>
      <w:tr>
        <w:trPr>
          <w:trHeight w:val="23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KNOW ALL BY THESE PRESENTS, that each person whose signature appears below hereby makes, constitutes and appoints Jack A. Khattar and Timothy C. Dec, and each of them, with full power to act without the other, such person’s true and lawful attorney-in-fact and agent, with full power of substitution and resubstitution, for such person and in such person’s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connection therewith, as fully to all intents and purposes as such person might or could do in person, hereby ratifying and confirming all that said attorneys-in-fact and agents or any of them, or any substitute or substitutes, may lawfully do or cause to be done by virtue hereof.</w:t>
      </w:r>
    </w:p>
    <w:p>
      <w:pPr>
        <w:spacing w:after="0" w:line="185"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and on the date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8"/>
                <w:szCs w:val="18"/>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6060" w:type="dxa"/>
            <w:vAlign w:val="bottom"/>
            <w:gridSpan w:val="3"/>
          </w:tcPr>
          <w:p>
            <w:pPr>
              <w:jc w:val="center"/>
              <w:ind w:left="311"/>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940" w:type="dxa"/>
            <w:vAlign w:val="bottom"/>
          </w:tcPr>
          <w:p>
            <w:pPr>
              <w:spacing w:after="0"/>
              <w:rPr>
                <w:sz w:val="18"/>
                <w:szCs w:val="18"/>
                <w:color w:val="auto"/>
              </w:rPr>
            </w:pPr>
          </w:p>
        </w:tc>
        <w:tc>
          <w:tcPr>
            <w:tcW w:w="9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
        </w:trPr>
        <w:tc>
          <w:tcPr>
            <w:tcW w:w="1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48"/>
        </w:trPr>
        <w:tc>
          <w:tcPr>
            <w:tcW w:w="3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Jack A. Khattar</w:t>
            </w:r>
          </w:p>
        </w:tc>
        <w:tc>
          <w:tcPr>
            <w:tcW w:w="6060" w:type="dxa"/>
            <w:vAlign w:val="bottom"/>
            <w:gridSpan w:val="3"/>
          </w:tcPr>
          <w:p>
            <w:pPr>
              <w:jc w:val="center"/>
              <w:ind w:left="311"/>
              <w:spacing w:after="0"/>
              <w:rPr>
                <w:sz w:val="20"/>
                <w:szCs w:val="20"/>
                <w:color w:val="auto"/>
              </w:rPr>
            </w:pPr>
            <w:r>
              <w:rPr>
                <w:rFonts w:ascii="Times New Roman" w:cs="Times New Roman" w:eastAsia="Times New Roman" w:hAnsi="Times New Roman"/>
                <w:sz w:val="18"/>
                <w:szCs w:val="18"/>
                <w:color w:val="auto"/>
                <w:w w:val="98"/>
              </w:rPr>
              <w:t>President and Chief Executive Officer and Director</w:t>
            </w:r>
          </w:p>
        </w:tc>
        <w:tc>
          <w:tcPr>
            <w:tcW w:w="1840" w:type="dxa"/>
            <w:vAlign w:val="bottom"/>
            <w:gridSpan w:val="3"/>
          </w:tcPr>
          <w:p>
            <w:pPr>
              <w:jc w:val="center"/>
              <w:ind w:left="311"/>
              <w:spacing w:after="0"/>
              <w:rPr>
                <w:sz w:val="20"/>
                <w:szCs w:val="20"/>
                <w:color w:val="auto"/>
              </w:rPr>
            </w:pPr>
            <w:r>
              <w:rPr>
                <w:rFonts w:ascii="Times New Roman" w:cs="Times New Roman" w:eastAsia="Times New Roman" w:hAnsi="Times New Roman"/>
                <w:sz w:val="18"/>
                <w:szCs w:val="18"/>
                <w:color w:val="auto"/>
                <w:w w:val="99"/>
              </w:rPr>
              <w:t>June 22, 2026</w:t>
            </w:r>
          </w:p>
        </w:tc>
      </w:tr>
      <w:tr>
        <w:trPr>
          <w:trHeight w:val="226"/>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Jack A. Khattar</w:t>
            </w:r>
          </w:p>
        </w:tc>
        <w:tc>
          <w:tcPr>
            <w:tcW w:w="6060" w:type="dxa"/>
            <w:vAlign w:val="bottom"/>
            <w:gridSpan w:val="3"/>
          </w:tcPr>
          <w:p>
            <w:pPr>
              <w:jc w:val="center"/>
              <w:ind w:left="311"/>
              <w:spacing w:after="0"/>
              <w:rPr>
                <w:sz w:val="20"/>
                <w:szCs w:val="20"/>
                <w:color w:val="auto"/>
              </w:rPr>
            </w:pPr>
            <w:r>
              <w:rPr>
                <w:rFonts w:ascii="Times New Roman" w:cs="Times New Roman" w:eastAsia="Times New Roman" w:hAnsi="Times New Roman"/>
                <w:sz w:val="18"/>
                <w:szCs w:val="18"/>
                <w:color w:val="auto"/>
                <w:w w:val="98"/>
              </w:rPr>
              <w:t>(Principal Executive Officer)</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09"/>
        </w:trPr>
        <w:tc>
          <w:tcPr>
            <w:tcW w:w="3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Timothy C. Dec</w:t>
            </w:r>
          </w:p>
        </w:tc>
        <w:tc>
          <w:tcPr>
            <w:tcW w:w="6060" w:type="dxa"/>
            <w:vAlign w:val="bottom"/>
            <w:gridSpan w:val="3"/>
          </w:tcPr>
          <w:p>
            <w:pPr>
              <w:jc w:val="center"/>
              <w:ind w:left="311"/>
              <w:spacing w:after="0"/>
              <w:rPr>
                <w:sz w:val="20"/>
                <w:szCs w:val="20"/>
                <w:color w:val="auto"/>
              </w:rPr>
            </w:pPr>
            <w:r>
              <w:rPr>
                <w:rFonts w:ascii="Times New Roman" w:cs="Times New Roman" w:eastAsia="Times New Roman" w:hAnsi="Times New Roman"/>
                <w:sz w:val="18"/>
                <w:szCs w:val="18"/>
                <w:color w:val="auto"/>
                <w:w w:val="98"/>
              </w:rPr>
              <w:t>Senior Vice President, Chief Financial Officer</w:t>
            </w:r>
          </w:p>
        </w:tc>
        <w:tc>
          <w:tcPr>
            <w:tcW w:w="1840" w:type="dxa"/>
            <w:vAlign w:val="bottom"/>
            <w:gridSpan w:val="3"/>
          </w:tcPr>
          <w:p>
            <w:pPr>
              <w:jc w:val="center"/>
              <w:ind w:left="311"/>
              <w:spacing w:after="0"/>
              <w:rPr>
                <w:sz w:val="20"/>
                <w:szCs w:val="20"/>
                <w:color w:val="auto"/>
              </w:rPr>
            </w:pPr>
            <w:r>
              <w:rPr>
                <w:rFonts w:ascii="Times New Roman" w:cs="Times New Roman" w:eastAsia="Times New Roman" w:hAnsi="Times New Roman"/>
                <w:sz w:val="18"/>
                <w:szCs w:val="18"/>
                <w:color w:val="auto"/>
                <w:w w:val="99"/>
              </w:rPr>
              <w:t>June 22, 2026</w:t>
            </w:r>
          </w:p>
        </w:tc>
      </w:tr>
      <w:tr>
        <w:trPr>
          <w:trHeight w:val="226"/>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Timothy C. Dec</w:t>
            </w:r>
          </w:p>
        </w:tc>
        <w:tc>
          <w:tcPr>
            <w:tcW w:w="6060" w:type="dxa"/>
            <w:vAlign w:val="bottom"/>
            <w:gridSpan w:val="3"/>
          </w:tcPr>
          <w:p>
            <w:pPr>
              <w:jc w:val="center"/>
              <w:ind w:left="331"/>
              <w:spacing w:after="0"/>
              <w:rPr>
                <w:sz w:val="20"/>
                <w:szCs w:val="20"/>
                <w:color w:val="auto"/>
              </w:rPr>
            </w:pPr>
            <w:r>
              <w:rPr>
                <w:rFonts w:ascii="Times New Roman" w:cs="Times New Roman" w:eastAsia="Times New Roman" w:hAnsi="Times New Roman"/>
                <w:sz w:val="18"/>
                <w:szCs w:val="18"/>
                <w:color w:val="auto"/>
                <w:w w:val="98"/>
              </w:rPr>
              <w:t>(Principal Financial Officer and Principal Accounting Officer)</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09"/>
        </w:trPr>
        <w:tc>
          <w:tcPr>
            <w:tcW w:w="3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Charles W. Newhall, III</w:t>
            </w:r>
          </w:p>
        </w:tc>
        <w:tc>
          <w:tcPr>
            <w:tcW w:w="6060" w:type="dxa"/>
            <w:vAlign w:val="bottom"/>
            <w:gridSpan w:val="3"/>
          </w:tcPr>
          <w:p>
            <w:pPr>
              <w:jc w:val="center"/>
              <w:ind w:left="311"/>
              <w:spacing w:after="0"/>
              <w:rPr>
                <w:sz w:val="20"/>
                <w:szCs w:val="20"/>
                <w:color w:val="auto"/>
              </w:rPr>
            </w:pPr>
            <w:r>
              <w:rPr>
                <w:rFonts w:ascii="Times New Roman" w:cs="Times New Roman" w:eastAsia="Times New Roman" w:hAnsi="Times New Roman"/>
                <w:sz w:val="18"/>
                <w:szCs w:val="18"/>
                <w:color w:val="auto"/>
                <w:w w:val="99"/>
              </w:rPr>
              <w:t>Director and Chairman of the Board</w:t>
            </w:r>
          </w:p>
        </w:tc>
        <w:tc>
          <w:tcPr>
            <w:tcW w:w="1840" w:type="dxa"/>
            <w:vAlign w:val="bottom"/>
            <w:gridSpan w:val="3"/>
          </w:tcPr>
          <w:p>
            <w:pPr>
              <w:jc w:val="center"/>
              <w:ind w:left="311"/>
              <w:spacing w:after="0"/>
              <w:rPr>
                <w:sz w:val="20"/>
                <w:szCs w:val="20"/>
                <w:color w:val="auto"/>
              </w:rPr>
            </w:pPr>
            <w:r>
              <w:rPr>
                <w:rFonts w:ascii="Times New Roman" w:cs="Times New Roman" w:eastAsia="Times New Roman" w:hAnsi="Times New Roman"/>
                <w:sz w:val="18"/>
                <w:szCs w:val="18"/>
                <w:color w:val="auto"/>
                <w:w w:val="99"/>
              </w:rPr>
              <w:t>June 22, 2026</w:t>
            </w:r>
          </w:p>
        </w:tc>
      </w:tr>
      <w:tr>
        <w:trPr>
          <w:trHeight w:val="226"/>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Charles W. Newhall, III</w:t>
            </w:r>
          </w:p>
        </w:tc>
        <w:tc>
          <w:tcPr>
            <w:tcW w:w="3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09"/>
        </w:trPr>
        <w:tc>
          <w:tcPr>
            <w:tcW w:w="3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Carrolee Barlow, M.D., Ph.D.</w:t>
            </w:r>
          </w:p>
        </w:tc>
        <w:tc>
          <w:tcPr>
            <w:tcW w:w="6060" w:type="dxa"/>
            <w:vAlign w:val="bottom"/>
            <w:gridSpan w:val="3"/>
          </w:tcPr>
          <w:p>
            <w:pPr>
              <w:jc w:val="center"/>
              <w:ind w:left="311"/>
              <w:spacing w:after="0"/>
              <w:rPr>
                <w:sz w:val="20"/>
                <w:szCs w:val="20"/>
                <w:color w:val="auto"/>
              </w:rPr>
            </w:pPr>
            <w:r>
              <w:rPr>
                <w:rFonts w:ascii="Times New Roman" w:cs="Times New Roman" w:eastAsia="Times New Roman" w:hAnsi="Times New Roman"/>
                <w:sz w:val="18"/>
                <w:szCs w:val="18"/>
                <w:color w:val="auto"/>
                <w:w w:val="96"/>
              </w:rPr>
              <w:t>Director</w:t>
            </w:r>
          </w:p>
        </w:tc>
        <w:tc>
          <w:tcPr>
            <w:tcW w:w="1840" w:type="dxa"/>
            <w:vAlign w:val="bottom"/>
            <w:gridSpan w:val="3"/>
          </w:tcPr>
          <w:p>
            <w:pPr>
              <w:jc w:val="center"/>
              <w:ind w:left="311"/>
              <w:spacing w:after="0"/>
              <w:rPr>
                <w:sz w:val="20"/>
                <w:szCs w:val="20"/>
                <w:color w:val="auto"/>
              </w:rPr>
            </w:pPr>
            <w:r>
              <w:rPr>
                <w:rFonts w:ascii="Times New Roman" w:cs="Times New Roman" w:eastAsia="Times New Roman" w:hAnsi="Times New Roman"/>
                <w:sz w:val="18"/>
                <w:szCs w:val="18"/>
                <w:color w:val="auto"/>
                <w:w w:val="99"/>
              </w:rPr>
              <w:t>June 22, 2026</w:t>
            </w:r>
          </w:p>
        </w:tc>
      </w:tr>
      <w:tr>
        <w:trPr>
          <w:trHeight w:val="226"/>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Carrolee Barlow, M.D., Ph.D.</w:t>
            </w:r>
          </w:p>
        </w:tc>
        <w:tc>
          <w:tcPr>
            <w:tcW w:w="3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09"/>
        </w:trPr>
        <w:tc>
          <w:tcPr>
            <w:tcW w:w="3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Georges Gemayel, Ph.D.</w:t>
            </w:r>
          </w:p>
        </w:tc>
        <w:tc>
          <w:tcPr>
            <w:tcW w:w="6060" w:type="dxa"/>
            <w:vAlign w:val="bottom"/>
            <w:gridSpan w:val="3"/>
          </w:tcPr>
          <w:p>
            <w:pPr>
              <w:jc w:val="center"/>
              <w:ind w:left="311"/>
              <w:spacing w:after="0"/>
              <w:rPr>
                <w:sz w:val="20"/>
                <w:szCs w:val="20"/>
                <w:color w:val="auto"/>
              </w:rPr>
            </w:pPr>
            <w:r>
              <w:rPr>
                <w:rFonts w:ascii="Times New Roman" w:cs="Times New Roman" w:eastAsia="Times New Roman" w:hAnsi="Times New Roman"/>
                <w:sz w:val="18"/>
                <w:szCs w:val="18"/>
                <w:color w:val="auto"/>
                <w:w w:val="96"/>
              </w:rPr>
              <w:t>Director</w:t>
            </w:r>
          </w:p>
        </w:tc>
        <w:tc>
          <w:tcPr>
            <w:tcW w:w="1840" w:type="dxa"/>
            <w:vAlign w:val="bottom"/>
            <w:gridSpan w:val="3"/>
          </w:tcPr>
          <w:p>
            <w:pPr>
              <w:jc w:val="center"/>
              <w:ind w:left="311"/>
              <w:spacing w:after="0"/>
              <w:rPr>
                <w:sz w:val="20"/>
                <w:szCs w:val="20"/>
                <w:color w:val="auto"/>
              </w:rPr>
            </w:pPr>
            <w:r>
              <w:rPr>
                <w:rFonts w:ascii="Times New Roman" w:cs="Times New Roman" w:eastAsia="Times New Roman" w:hAnsi="Times New Roman"/>
                <w:sz w:val="18"/>
                <w:szCs w:val="18"/>
                <w:color w:val="auto"/>
                <w:w w:val="99"/>
              </w:rPr>
              <w:t>June 22, 2026</w:t>
            </w:r>
          </w:p>
        </w:tc>
      </w:tr>
      <w:tr>
        <w:trPr>
          <w:trHeight w:val="226"/>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Georges Gemayel, Ph.D.</w:t>
            </w:r>
          </w:p>
        </w:tc>
        <w:tc>
          <w:tcPr>
            <w:tcW w:w="3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09"/>
        </w:trPr>
        <w:tc>
          <w:tcPr>
            <w:tcW w:w="3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Frederick M. Hudson</w:t>
            </w:r>
          </w:p>
        </w:tc>
        <w:tc>
          <w:tcPr>
            <w:tcW w:w="6060" w:type="dxa"/>
            <w:vAlign w:val="bottom"/>
            <w:gridSpan w:val="3"/>
          </w:tcPr>
          <w:p>
            <w:pPr>
              <w:jc w:val="center"/>
              <w:ind w:left="311"/>
              <w:spacing w:after="0"/>
              <w:rPr>
                <w:sz w:val="20"/>
                <w:szCs w:val="20"/>
                <w:color w:val="auto"/>
              </w:rPr>
            </w:pPr>
            <w:r>
              <w:rPr>
                <w:rFonts w:ascii="Times New Roman" w:cs="Times New Roman" w:eastAsia="Times New Roman" w:hAnsi="Times New Roman"/>
                <w:sz w:val="18"/>
                <w:szCs w:val="18"/>
                <w:color w:val="auto"/>
                <w:w w:val="96"/>
              </w:rPr>
              <w:t>Director</w:t>
            </w:r>
          </w:p>
        </w:tc>
        <w:tc>
          <w:tcPr>
            <w:tcW w:w="1840" w:type="dxa"/>
            <w:vAlign w:val="bottom"/>
            <w:gridSpan w:val="3"/>
          </w:tcPr>
          <w:p>
            <w:pPr>
              <w:jc w:val="center"/>
              <w:ind w:left="311"/>
              <w:spacing w:after="0"/>
              <w:rPr>
                <w:sz w:val="20"/>
                <w:szCs w:val="20"/>
                <w:color w:val="auto"/>
              </w:rPr>
            </w:pPr>
            <w:r>
              <w:rPr>
                <w:rFonts w:ascii="Times New Roman" w:cs="Times New Roman" w:eastAsia="Times New Roman" w:hAnsi="Times New Roman"/>
                <w:sz w:val="18"/>
                <w:szCs w:val="18"/>
                <w:color w:val="auto"/>
                <w:w w:val="99"/>
              </w:rPr>
              <w:t>June 22, 2026</w:t>
            </w:r>
          </w:p>
        </w:tc>
      </w:tr>
      <w:tr>
        <w:trPr>
          <w:trHeight w:val="226"/>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Frederick M. Hudson</w:t>
            </w:r>
          </w:p>
        </w:tc>
        <w:tc>
          <w:tcPr>
            <w:tcW w:w="3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09"/>
        </w:trPr>
        <w:tc>
          <w:tcPr>
            <w:tcW w:w="3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Bethany L. Sensenig</w:t>
            </w:r>
          </w:p>
        </w:tc>
        <w:tc>
          <w:tcPr>
            <w:tcW w:w="6060" w:type="dxa"/>
            <w:vAlign w:val="bottom"/>
            <w:gridSpan w:val="3"/>
          </w:tcPr>
          <w:p>
            <w:pPr>
              <w:jc w:val="center"/>
              <w:ind w:left="311"/>
              <w:spacing w:after="0"/>
              <w:rPr>
                <w:sz w:val="20"/>
                <w:szCs w:val="20"/>
                <w:color w:val="auto"/>
              </w:rPr>
            </w:pPr>
            <w:r>
              <w:rPr>
                <w:rFonts w:ascii="Times New Roman" w:cs="Times New Roman" w:eastAsia="Times New Roman" w:hAnsi="Times New Roman"/>
                <w:sz w:val="18"/>
                <w:szCs w:val="18"/>
                <w:color w:val="auto"/>
                <w:w w:val="96"/>
              </w:rPr>
              <w:t>Director</w:t>
            </w:r>
          </w:p>
        </w:tc>
        <w:tc>
          <w:tcPr>
            <w:tcW w:w="1840" w:type="dxa"/>
            <w:vAlign w:val="bottom"/>
            <w:gridSpan w:val="3"/>
          </w:tcPr>
          <w:p>
            <w:pPr>
              <w:jc w:val="center"/>
              <w:ind w:left="311"/>
              <w:spacing w:after="0"/>
              <w:rPr>
                <w:sz w:val="20"/>
                <w:szCs w:val="20"/>
                <w:color w:val="auto"/>
              </w:rPr>
            </w:pPr>
            <w:r>
              <w:rPr>
                <w:rFonts w:ascii="Times New Roman" w:cs="Times New Roman" w:eastAsia="Times New Roman" w:hAnsi="Times New Roman"/>
                <w:sz w:val="18"/>
                <w:szCs w:val="18"/>
                <w:color w:val="auto"/>
                <w:w w:val="99"/>
              </w:rPr>
              <w:t>June 22, 2026</w:t>
            </w:r>
          </w:p>
        </w:tc>
      </w:tr>
      <w:tr>
        <w:trPr>
          <w:trHeight w:val="226"/>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Bethany L. Sensenig</w:t>
            </w:r>
          </w:p>
        </w:tc>
        <w:tc>
          <w:tcPr>
            <w:tcW w:w="3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649"/>
        </w:trPr>
        <w:tc>
          <w:tcPr>
            <w:tcW w:w="1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2"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154305</wp:posOffset>
            </wp:positionV>
            <wp:extent cx="1967865" cy="916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extLst>
                    </a:blip>
                    <a:srcRect/>
                    <a:stretch>
                      <a:fillRect/>
                    </a:stretch>
                  </pic:blipFill>
                  <pic:spPr bwMode="auto">
                    <a:xfrm>
                      <a:off x="0" y="0"/>
                      <a:ext cx="1967865" cy="91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lawyers@saul.com</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www.saul.com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22,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Supernus Pharmaceuticals,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9715 Key West Avenue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Rockville, Maryland 20850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20"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We refer to the Registration Statement on Form S-8 (the “Registration Statement”) of Supernus Pharmaceuticals, Inc., a Delaware corporation (the “Company”), to be filed with the Securities and Exchange Commission (the “Commission”) covering the registration under the Securities Act of 1933, as amended (the “Securities Act”), of 4,000,000 shares of common stock, par value $0.001 per share, of the Company (the “Shares”) authorized pursuant to the Company’s Amended and Restated 2021 Equity Incentive Plan (the “Plan”).</w:t>
      </w:r>
    </w:p>
    <w:p>
      <w:pPr>
        <w:spacing w:after="0" w:line="182"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We have examined the Registration Statement, the Amended and Restated Certificate of Incorporation of the Company and the Plan, each of which have been filed with the Commission as exhibits to the Registration Statement. In addition, we have examined, and have relied as to matters of fact upon, originals, or duplicates or certified or conformed copies, of such records, agreements, documents and other instruments and such certificates or comparable documents of public officials and of officers and representatives of the Company and have made such other investigations as we have deemed relevant and necessary in connection with the opinion hereinafter set forth.</w:t>
      </w:r>
    </w:p>
    <w:p>
      <w:pPr>
        <w:spacing w:after="0" w:line="183"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In rendering the opinion set forth below, we have assumed the genuineness of all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w:t>
      </w:r>
    </w:p>
    <w:p>
      <w:pPr>
        <w:spacing w:after="0" w:line="177"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Based upon and subject to the foregoing, we are of the opinion that the Shares to be issued pursuant to the terms of the Plan have been duly authorized and, when issued in accordance with the terms of the Plan, will be duly and validly issued, fully paid and non-assessable.</w:t>
      </w:r>
    </w:p>
    <w:p>
      <w:pPr>
        <w:spacing w:after="0" w:line="163"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We hereby consent to the use of our name in the Registration Statement as counsel who will pass upon the legality of the Shares for the Company and as having prepared this Opinion as an exhibit to the Registration Statement. In giving the foregoing consent, we do not thereby admit that we are in the category of persons whose consent is required under Section 7 of the Securities Act or the rules and regulations of the Securities and Exchange Commission thereunder.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SAUL EWING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35712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extLst>
                        <a:ext uri="{28A0092B-C50C-407E-A947-70E740481C1C}"/>
                      </a:extLst>
                    </a:blip>
                    <a:srcRect/>
                    <a:stretch>
                      <a:fillRect/>
                    </a:stretch>
                  </pic:blipFill>
                  <pic:spPr bwMode="auto">
                    <a:xfrm>
                      <a:off x="0" y="0"/>
                      <a:ext cx="3571240"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Saul Ewing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436245</wp:posOffset>
            </wp:positionV>
            <wp:extent cx="71335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KMPG LLP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750 East Pratt Street, 18th Floor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Baltimore, MD 21202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We consent to the use of our reports dated March 2, 2026, with respect to the consolidated financial statements of Supernus Pharmaceuticals, Inc. and subsidiaries, and the effectiveness of internal control over financial reporting, incorporated herein by reference.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35712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9">
                      <a:extLst>
                        <a:ext uri="{28A0092B-C50C-407E-A947-70E740481C1C}"/>
                      </a:extLst>
                    </a:blip>
                    <a:srcRect/>
                    <a:stretch>
                      <a:fillRect/>
                    </a:stretch>
                  </pic:blipFill>
                  <pic:spPr bwMode="auto">
                    <a:xfrm>
                      <a:off x="0" y="0"/>
                      <a:ext cx="3571240"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Baltimore, Maryland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427990</wp:posOffset>
            </wp:positionV>
            <wp:extent cx="71335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8" w:name="page9"/>
    <w:bookmarkEnd w:id="8"/>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SUPERNUS PHARMACEUTICALS, INC.</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6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30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5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0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20" w:type="dxa"/>
            <w:vAlign w:val="bottom"/>
            <w:vMerge w:val="restart"/>
            <w:shd w:val="clear" w:color="auto" w:fill="9ADAF6"/>
          </w:tcPr>
          <w:p>
            <w:pPr>
              <w:jc w:val="right"/>
              <w:ind w:right="53"/>
              <w:spacing w:after="0"/>
              <w:rPr>
                <w:sz w:val="20"/>
                <w:szCs w:val="20"/>
                <w:color w:val="auto"/>
              </w:rPr>
            </w:pPr>
            <w:r>
              <w:rPr>
                <w:rFonts w:ascii="Arial" w:cs="Arial" w:eastAsia="Arial" w:hAnsi="Arial"/>
                <w:sz w:val="21"/>
                <w:szCs w:val="21"/>
                <w:b w:val="1"/>
                <w:bCs w:val="1"/>
                <w:color w:val="auto"/>
              </w:rPr>
              <w:t>Amount</w:t>
            </w:r>
          </w:p>
        </w:tc>
        <w:tc>
          <w:tcPr>
            <w:tcW w:w="40" w:type="dxa"/>
            <w:vAlign w:val="bottom"/>
          </w:tcPr>
          <w:p>
            <w:pPr>
              <w:spacing w:after="0"/>
              <w:rPr>
                <w:sz w:val="20"/>
                <w:szCs w:val="20"/>
                <w:color w:val="auto"/>
              </w:rPr>
            </w:pPr>
          </w:p>
        </w:tc>
        <w:tc>
          <w:tcPr>
            <w:tcW w:w="13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0"/>
                <w:szCs w:val="20"/>
                <w:color w:val="auto"/>
              </w:rPr>
            </w:pPr>
          </w:p>
        </w:tc>
        <w:tc>
          <w:tcPr>
            <w:tcW w:w="15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0"/>
                <w:szCs w:val="20"/>
                <w:color w:val="auto"/>
              </w:rPr>
            </w:pPr>
          </w:p>
        </w:tc>
        <w:tc>
          <w:tcPr>
            <w:tcW w:w="10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1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Class</w:t>
            </w:r>
          </w:p>
        </w:tc>
        <w:tc>
          <w:tcPr>
            <w:tcW w:w="20" w:type="dxa"/>
            <w:vAlign w:val="bottom"/>
          </w:tcPr>
          <w:p>
            <w:pPr>
              <w:spacing w:after="0"/>
              <w:rPr>
                <w:sz w:val="18"/>
                <w:szCs w:val="18"/>
                <w:color w:val="auto"/>
              </w:rPr>
            </w:pPr>
          </w:p>
        </w:tc>
        <w:tc>
          <w:tcPr>
            <w:tcW w:w="118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Calculation</w:t>
            </w:r>
          </w:p>
        </w:tc>
        <w:tc>
          <w:tcPr>
            <w:tcW w:w="40" w:type="dxa"/>
            <w:vAlign w:val="bottom"/>
          </w:tcPr>
          <w:p>
            <w:pPr>
              <w:spacing w:after="0"/>
              <w:rPr>
                <w:sz w:val="18"/>
                <w:szCs w:val="18"/>
                <w:color w:val="auto"/>
              </w:rPr>
            </w:pPr>
          </w:p>
        </w:tc>
        <w:tc>
          <w:tcPr>
            <w:tcW w:w="112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18"/>
                <w:szCs w:val="18"/>
                <w:color w:val="auto"/>
              </w:rPr>
            </w:pPr>
          </w:p>
        </w:tc>
        <w:tc>
          <w:tcPr>
            <w:tcW w:w="154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Aggregate</w:t>
            </w:r>
          </w:p>
        </w:tc>
        <w:tc>
          <w:tcPr>
            <w:tcW w:w="40" w:type="dxa"/>
            <w:vAlign w:val="bottom"/>
          </w:tcPr>
          <w:p>
            <w:pPr>
              <w:spacing w:after="0"/>
              <w:rPr>
                <w:sz w:val="18"/>
                <w:szCs w:val="18"/>
                <w:color w:val="auto"/>
              </w:rPr>
            </w:pPr>
          </w:p>
        </w:tc>
        <w:tc>
          <w:tcPr>
            <w:tcW w:w="104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18"/>
                <w:szCs w:val="18"/>
                <w:color w:val="auto"/>
              </w:rPr>
            </w:pPr>
          </w:p>
        </w:tc>
        <w:tc>
          <w:tcPr>
            <w:tcW w:w="146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40" w:type="dxa"/>
            <w:vAlign w:val="bottom"/>
            <w:tcBorders>
              <w:left w:val="single" w:sz="8" w:color="auto"/>
            </w:tcBorders>
          </w:tcPr>
          <w:p>
            <w:pPr>
              <w:spacing w:after="0"/>
              <w:rPr>
                <w:sz w:val="23"/>
                <w:szCs w:val="23"/>
                <w:color w:val="auto"/>
              </w:rPr>
            </w:pPr>
          </w:p>
        </w:tc>
        <w:tc>
          <w:tcPr>
            <w:tcW w:w="1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Type</w:t>
            </w:r>
          </w:p>
        </w:tc>
        <w:tc>
          <w:tcPr>
            <w:tcW w:w="40" w:type="dxa"/>
            <w:vAlign w:val="bottom"/>
          </w:tcPr>
          <w:p>
            <w:pPr>
              <w:spacing w:after="0"/>
              <w:rPr>
                <w:sz w:val="23"/>
                <w:szCs w:val="23"/>
                <w:color w:val="auto"/>
              </w:rPr>
            </w:pPr>
          </w:p>
        </w:tc>
        <w:tc>
          <w:tcPr>
            <w:tcW w:w="10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Title</w:t>
            </w:r>
          </w:p>
        </w:tc>
        <w:tc>
          <w:tcPr>
            <w:tcW w:w="20" w:type="dxa"/>
            <w:vAlign w:val="bottom"/>
          </w:tcPr>
          <w:p>
            <w:pPr>
              <w:spacing w:after="0"/>
              <w:rPr>
                <w:sz w:val="23"/>
                <w:szCs w:val="23"/>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Rule</w:t>
            </w:r>
          </w:p>
        </w:tc>
        <w:tc>
          <w:tcPr>
            <w:tcW w:w="40" w:type="dxa"/>
            <w:vAlign w:val="bottom"/>
          </w:tcPr>
          <w:p>
            <w:pPr>
              <w:spacing w:after="0"/>
              <w:rPr>
                <w:sz w:val="23"/>
                <w:szCs w:val="23"/>
                <w:color w:val="auto"/>
              </w:rPr>
            </w:pPr>
          </w:p>
        </w:tc>
        <w:tc>
          <w:tcPr>
            <w:tcW w:w="1120" w:type="dxa"/>
            <w:vAlign w:val="bottom"/>
            <w:shd w:val="clear" w:color="auto" w:fill="9ADAF6"/>
          </w:tcPr>
          <w:p>
            <w:pPr>
              <w:jc w:val="right"/>
              <w:spacing w:after="0"/>
              <w:rPr>
                <w:sz w:val="20"/>
                <w:szCs w:val="20"/>
                <w:color w:val="auto"/>
              </w:rPr>
            </w:pPr>
            <w:r>
              <w:rPr>
                <w:rFonts w:ascii="Arial" w:cs="Arial" w:eastAsia="Arial" w:hAnsi="Arial"/>
                <w:sz w:val="21"/>
                <w:szCs w:val="21"/>
                <w:b w:val="1"/>
                <w:bCs w:val="1"/>
                <w:color w:val="auto"/>
                <w:w w:val="99"/>
              </w:rPr>
              <w:t>Registered</w:t>
            </w:r>
          </w:p>
        </w:tc>
        <w:tc>
          <w:tcPr>
            <w:tcW w:w="40" w:type="dxa"/>
            <w:vAlign w:val="bottom"/>
          </w:tcPr>
          <w:p>
            <w:pPr>
              <w:spacing w:after="0"/>
              <w:rPr>
                <w:sz w:val="23"/>
                <w:szCs w:val="23"/>
                <w:color w:val="auto"/>
              </w:rPr>
            </w:pPr>
          </w:p>
        </w:tc>
        <w:tc>
          <w:tcPr>
            <w:tcW w:w="13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Price Per</w:t>
            </w:r>
          </w:p>
        </w:tc>
        <w:tc>
          <w:tcPr>
            <w:tcW w:w="20" w:type="dxa"/>
            <w:vAlign w:val="bottom"/>
          </w:tcPr>
          <w:p>
            <w:pPr>
              <w:spacing w:after="0"/>
              <w:rPr>
                <w:sz w:val="23"/>
                <w:szCs w:val="23"/>
                <w:color w:val="auto"/>
              </w:rPr>
            </w:pPr>
          </w:p>
        </w:tc>
        <w:tc>
          <w:tcPr>
            <w:tcW w:w="15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Offering Price</w:t>
            </w:r>
          </w:p>
        </w:tc>
        <w:tc>
          <w:tcPr>
            <w:tcW w:w="40" w:type="dxa"/>
            <w:vAlign w:val="bottom"/>
          </w:tcPr>
          <w:p>
            <w:pPr>
              <w:spacing w:after="0"/>
              <w:rPr>
                <w:sz w:val="23"/>
                <w:szCs w:val="23"/>
                <w:color w:val="auto"/>
              </w:rPr>
            </w:pPr>
          </w:p>
        </w:tc>
        <w:tc>
          <w:tcPr>
            <w:tcW w:w="10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4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20" w:type="dxa"/>
            <w:vAlign w:val="bottom"/>
          </w:tcPr>
          <w:p>
            <w:pPr>
              <w:spacing w:after="0"/>
              <w:rPr>
                <w:sz w:val="24"/>
                <w:szCs w:val="24"/>
                <w:color w:val="auto"/>
              </w:rPr>
            </w:pPr>
          </w:p>
        </w:tc>
        <w:tc>
          <w:tcPr>
            <w:tcW w:w="15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E7E7E2"/>
          </w:tcPr>
          <w:p>
            <w:pPr>
              <w:spacing w:after="0" w:line="227"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3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$0.001</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40" w:type="dxa"/>
            <w:vAlign w:val="bottom"/>
            <w:tcBorders>
              <w:left w:val="single" w:sz="8" w:color="auto"/>
            </w:tcBorders>
          </w:tcPr>
          <w:p>
            <w:pPr>
              <w:spacing w:after="0"/>
              <w:rPr>
                <w:sz w:val="10"/>
                <w:szCs w:val="1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10"/>
                <w:szCs w:val="10"/>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40" w:type="dxa"/>
            <w:vAlign w:val="bottom"/>
          </w:tcPr>
          <w:p>
            <w:pPr>
              <w:spacing w:after="0"/>
              <w:rPr>
                <w:sz w:val="10"/>
                <w:szCs w:val="10"/>
                <w:color w:val="auto"/>
              </w:rPr>
            </w:pPr>
          </w:p>
        </w:tc>
        <w:tc>
          <w:tcPr>
            <w:tcW w:w="1040" w:type="dxa"/>
            <w:vAlign w:val="bottom"/>
            <w:vMerge w:val="restart"/>
            <w:shd w:val="clear" w:color="auto" w:fill="E7E7E2"/>
          </w:tcPr>
          <w:p>
            <w:pPr>
              <w:spacing w:after="0"/>
              <w:rPr>
                <w:sz w:val="20"/>
                <w:szCs w:val="20"/>
                <w:color w:val="auto"/>
              </w:rPr>
            </w:pPr>
            <w:r>
              <w:rPr>
                <w:rFonts w:ascii="Arial" w:cs="Arial" w:eastAsia="Arial" w:hAnsi="Arial"/>
                <w:sz w:val="21"/>
                <w:szCs w:val="21"/>
                <w:color w:val="auto"/>
              </w:rPr>
              <w:t>par value</w:t>
            </w:r>
          </w:p>
        </w:tc>
        <w:tc>
          <w:tcPr>
            <w:tcW w:w="20" w:type="dxa"/>
            <w:vAlign w:val="bottom"/>
          </w:tcPr>
          <w:p>
            <w:pPr>
              <w:spacing w:after="0"/>
              <w:rPr>
                <w:sz w:val="10"/>
                <w:szCs w:val="1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rPr>
              <w:t>Other</w:t>
            </w:r>
          </w:p>
        </w:tc>
        <w:tc>
          <w:tcPr>
            <w:tcW w:w="40" w:type="dxa"/>
            <w:vAlign w:val="bottom"/>
          </w:tcPr>
          <w:p>
            <w:pPr>
              <w:spacing w:after="0"/>
              <w:rPr>
                <w:sz w:val="10"/>
                <w:szCs w:val="10"/>
                <w:color w:val="auto"/>
              </w:rPr>
            </w:pPr>
          </w:p>
        </w:tc>
        <w:tc>
          <w:tcPr>
            <w:tcW w:w="11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4,000,000</w:t>
            </w:r>
          </w:p>
        </w:tc>
        <w:tc>
          <w:tcPr>
            <w:tcW w:w="40" w:type="dxa"/>
            <w:vAlign w:val="bottom"/>
          </w:tcPr>
          <w:p>
            <w:pPr>
              <w:spacing w:after="0"/>
              <w:rPr>
                <w:sz w:val="10"/>
                <w:szCs w:val="10"/>
                <w:color w:val="auto"/>
              </w:rPr>
            </w:pPr>
          </w:p>
        </w:tc>
        <w:tc>
          <w:tcPr>
            <w:tcW w:w="13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$ 44.10</w:t>
            </w:r>
          </w:p>
        </w:tc>
        <w:tc>
          <w:tcPr>
            <w:tcW w:w="20" w:type="dxa"/>
            <w:vAlign w:val="bottom"/>
          </w:tcPr>
          <w:p>
            <w:pPr>
              <w:spacing w:after="0"/>
              <w:rPr>
                <w:sz w:val="10"/>
                <w:szCs w:val="10"/>
                <w:color w:val="auto"/>
              </w:rPr>
            </w:pPr>
          </w:p>
        </w:tc>
        <w:tc>
          <w:tcPr>
            <w:tcW w:w="154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10"/>
                <w:szCs w:val="10"/>
                <w:color w:val="auto"/>
              </w:rPr>
            </w:pPr>
          </w:p>
        </w:tc>
        <w:tc>
          <w:tcPr>
            <w:tcW w:w="14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$ 24,360.84</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shd w:val="clear" w:color="auto" w:fill="E7E7E2"/>
          </w:tcPr>
          <w:p>
            <w:pPr>
              <w:jc w:val="right"/>
              <w:spacing w:after="0" w:line="214" w:lineRule="exact"/>
              <w:rPr>
                <w:sz w:val="20"/>
                <w:szCs w:val="20"/>
                <w:color w:val="auto"/>
              </w:rPr>
            </w:pPr>
            <w:r>
              <w:rPr>
                <w:rFonts w:ascii="Arial" w:cs="Arial" w:eastAsia="Arial" w:hAnsi="Arial"/>
                <w:sz w:val="21"/>
                <w:szCs w:val="21"/>
                <w:color w:val="auto"/>
              </w:rPr>
              <w:t>176,400,000.00</w:t>
            </w:r>
          </w:p>
        </w:tc>
        <w:tc>
          <w:tcPr>
            <w:tcW w:w="40" w:type="dxa"/>
            <w:vAlign w:val="bottom"/>
          </w:tcPr>
          <w:p>
            <w:pPr>
              <w:spacing w:after="0"/>
              <w:rPr>
                <w:sz w:val="18"/>
                <w:szCs w:val="18"/>
                <w:color w:val="auto"/>
              </w:rPr>
            </w:pPr>
          </w:p>
        </w:tc>
        <w:tc>
          <w:tcPr>
            <w:tcW w:w="10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vMerge w:val="continue"/>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shd w:val="clear" w:color="auto" w:fill="E7E7E2"/>
          </w:tcPr>
          <w:p>
            <w:pPr>
              <w:spacing w:after="0" w:line="147" w:lineRule="exact"/>
              <w:rPr>
                <w:sz w:val="20"/>
                <w:szCs w:val="20"/>
                <w:color w:val="auto"/>
              </w:rPr>
            </w:pPr>
            <w:r>
              <w:rPr>
                <w:rFonts w:ascii="Arial" w:cs="Arial" w:eastAsia="Arial" w:hAnsi="Arial"/>
                <w:sz w:val="17"/>
                <w:szCs w:val="17"/>
                <w:color w:val="auto"/>
              </w:rPr>
              <w:t>per Share</w:t>
            </w:r>
          </w:p>
        </w:tc>
        <w:tc>
          <w:tcPr>
            <w:tcW w:w="20" w:type="dxa"/>
            <w:vAlign w:val="bottom"/>
          </w:tcPr>
          <w:p>
            <w:pPr>
              <w:spacing w:after="0"/>
              <w:rPr>
                <w:sz w:val="12"/>
                <w:szCs w:val="12"/>
                <w:color w:val="auto"/>
              </w:rPr>
            </w:pPr>
          </w:p>
        </w:tc>
        <w:tc>
          <w:tcPr>
            <w:tcW w:w="118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shd w:val="clear" w:color="auto" w:fill="E7E7E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E7E7E2"/>
          </w:tcPr>
          <w:p>
            <w:pPr>
              <w:spacing w:after="0"/>
              <w:rPr>
                <w:sz w:val="20"/>
                <w:szCs w:val="20"/>
                <w:color w:val="auto"/>
              </w:rPr>
            </w:pPr>
            <w:r>
              <w:rPr>
                <w:rFonts w:ascii="Arial" w:cs="Arial" w:eastAsia="Arial" w:hAnsi="Arial"/>
                <w:sz w:val="21"/>
                <w:szCs w:val="21"/>
                <w:color w:val="auto"/>
              </w:rPr>
              <w:t>Stock")</w:t>
            </w:r>
          </w:p>
        </w:tc>
        <w:tc>
          <w:tcPr>
            <w:tcW w:w="2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56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80" w:type="dxa"/>
            <w:vAlign w:val="bottom"/>
            <w:gridSpan w:val="2"/>
          </w:tcPr>
          <w:p>
            <w:pPr>
              <w:jc w:val="right"/>
              <w:spacing w:after="0"/>
              <w:rPr>
                <w:sz w:val="20"/>
                <w:szCs w:val="20"/>
                <w:color w:val="auto"/>
              </w:rPr>
            </w:pPr>
            <w:r>
              <w:rPr>
                <w:rFonts w:ascii="Arial" w:cs="Arial" w:eastAsia="Arial" w:hAnsi="Arial"/>
                <w:sz w:val="21"/>
                <w:szCs w:val="21"/>
                <w:color w:val="auto"/>
              </w:rPr>
              <w:t>$ 24,360.84</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Arial" w:cs="Arial" w:eastAsia="Arial" w:hAnsi="Arial"/>
                <w:sz w:val="21"/>
                <w:szCs w:val="21"/>
                <w:color w:val="auto"/>
              </w:rPr>
              <w:t>176,400,000.00</w:t>
            </w: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Arial" w:cs="Arial" w:eastAsia="Arial" w:hAnsi="Arial"/>
                <w:sz w:val="21"/>
                <w:szCs w:val="21"/>
                <w:color w:val="auto"/>
              </w:rPr>
              <w:t>$ 24,360.84</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1</w:t>
      </w:r>
    </w:p>
    <w:p>
      <w:pPr>
        <w:spacing w:after="0" w:line="77" w:lineRule="exact"/>
        <w:rPr>
          <w:sz w:val="20"/>
          <w:szCs w:val="20"/>
          <w:color w:val="auto"/>
        </w:rPr>
      </w:pPr>
    </w:p>
    <w:p>
      <w:pPr>
        <w:ind w:left="800" w:right="1320"/>
        <w:spacing w:after="0" w:line="248" w:lineRule="auto"/>
        <w:rPr>
          <w:sz w:val="20"/>
          <w:szCs w:val="20"/>
          <w:color w:val="auto"/>
        </w:rPr>
      </w:pPr>
      <w:r>
        <w:rPr>
          <w:rFonts w:ascii="Arial" w:cs="Arial" w:eastAsia="Arial" w:hAnsi="Arial"/>
          <w:sz w:val="21"/>
          <w:szCs w:val="21"/>
          <w:color w:val="auto"/>
        </w:rPr>
        <w:t>(1a) Fee calculated in accordance with Rules 457(c) and (h) under the Securities Act of 1933, as amended (the "Securities Act").</w:t>
      </w:r>
    </w:p>
    <w:p>
      <w:pPr>
        <w:spacing w:after="0" w:line="2" w:lineRule="exact"/>
        <w:rPr>
          <w:sz w:val="20"/>
          <w:szCs w:val="20"/>
          <w:color w:val="auto"/>
        </w:rPr>
      </w:pPr>
    </w:p>
    <w:p>
      <w:pPr>
        <w:ind w:left="800" w:right="680"/>
        <w:spacing w:after="0" w:line="238" w:lineRule="auto"/>
        <w:rPr>
          <w:sz w:val="20"/>
          <w:szCs w:val="20"/>
          <w:color w:val="auto"/>
        </w:rPr>
      </w:pPr>
      <w:r>
        <w:rPr>
          <w:rFonts w:ascii="Arial" w:cs="Arial" w:eastAsia="Arial" w:hAnsi="Arial"/>
          <w:sz w:val="21"/>
          <w:szCs w:val="21"/>
          <w:color w:val="auto"/>
        </w:rPr>
        <w:t>(1b) Pursuant to Rule 416(a) under the Securities Act of 1933, this Registration Statement also covers such additional shares of Common Stock, of Supernus Pharmaceuticals, Inc. (the "Registrant"), as may be issued by reason of a stock dividend, recapitalization, stock split, or combination or exchange of shares or similar transactions.</w:t>
      </w:r>
    </w:p>
    <w:p>
      <w:pPr>
        <w:spacing w:after="0" w:line="4" w:lineRule="exact"/>
        <w:rPr>
          <w:sz w:val="20"/>
          <w:szCs w:val="20"/>
          <w:color w:val="auto"/>
        </w:rPr>
      </w:pPr>
    </w:p>
    <w:p>
      <w:pPr>
        <w:ind w:left="800" w:right="820"/>
        <w:spacing w:after="0" w:line="245" w:lineRule="auto"/>
        <w:rPr>
          <w:sz w:val="20"/>
          <w:szCs w:val="20"/>
          <w:color w:val="auto"/>
        </w:rPr>
      </w:pPr>
      <w:r>
        <w:rPr>
          <w:rFonts w:ascii="Arial" w:cs="Arial" w:eastAsia="Arial" w:hAnsi="Arial"/>
          <w:sz w:val="21"/>
          <w:szCs w:val="21"/>
          <w:color w:val="auto"/>
        </w:rPr>
        <w:t>(1c) Estimated pursuant to Rule 457(c) and (h) solely for the purposes of calculating the Maximum Aggregate Offering Price and the Amount of Registration Fee based upon the average of the high and low prices of the Registrant's Common Stock as reported on the NASDAQ Global Market on June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230505</wp:posOffset>
            </wp:positionV>
            <wp:extent cx="63874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1">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2">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8"/>
                <w:szCs w:val="18"/>
                <w:color w:val="auto"/>
              </w:rPr>
            </w:pPr>
          </w:p>
        </w:tc>
        <w:tc>
          <w:tcPr>
            <w:tcW w:w="84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145"/>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Filing</w:t>
            </w:r>
          </w:p>
        </w:tc>
        <w:tc>
          <w:tcPr>
            <w:tcW w:w="40" w:type="dxa"/>
            <w:vAlign w:val="bottom"/>
          </w:tcPr>
          <w:p>
            <w:pPr>
              <w:spacing w:after="0"/>
              <w:rPr>
                <w:sz w:val="12"/>
                <w:szCs w:val="12"/>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Number</w:t>
            </w:r>
          </w:p>
        </w:tc>
        <w:tc>
          <w:tcPr>
            <w:tcW w:w="20" w:type="dxa"/>
            <w:vAlign w:val="bottom"/>
          </w:tcPr>
          <w:p>
            <w:pPr>
              <w:spacing w:after="0"/>
              <w:rPr>
                <w:sz w:val="12"/>
                <w:szCs w:val="12"/>
                <w:color w:val="auto"/>
              </w:rPr>
            </w:pPr>
          </w:p>
        </w:tc>
        <w:tc>
          <w:tcPr>
            <w:tcW w:w="6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2"/>
                <w:szCs w:val="12"/>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Date</w:t>
            </w:r>
          </w:p>
        </w:tc>
        <w:tc>
          <w:tcPr>
            <w:tcW w:w="0" w:type="dxa"/>
            <w:vAlign w:val="bottom"/>
          </w:tcPr>
          <w:p>
            <w:pPr>
              <w:spacing w:after="0"/>
              <w:rPr>
                <w:sz w:val="1"/>
                <w:szCs w:val="1"/>
                <w:color w:val="auto"/>
              </w:rPr>
            </w:pPr>
          </w:p>
        </w:tc>
      </w:tr>
      <w:tr>
        <w:trPr>
          <w:trHeight w:val="142"/>
        </w:trPr>
        <w:tc>
          <w:tcPr>
            <w:tcW w:w="60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2"/>
                <w:szCs w:val="12"/>
                <w:color w:val="auto"/>
              </w:rPr>
            </w:pPr>
          </w:p>
        </w:tc>
        <w:tc>
          <w:tcPr>
            <w:tcW w:w="60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215"/>
        </w:trPr>
        <w:tc>
          <w:tcPr>
            <w:tcW w:w="86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Offset</w:t>
            </w:r>
          </w:p>
        </w:tc>
        <w:tc>
          <w:tcPr>
            <w:tcW w:w="40" w:type="dxa"/>
            <w:vAlign w:val="bottom"/>
          </w:tcPr>
          <w:p>
            <w:pPr>
              <w:spacing w:after="0"/>
              <w:rPr>
                <w:sz w:val="18"/>
                <w:szCs w:val="18"/>
                <w:color w:val="auto"/>
              </w:rPr>
            </w:pPr>
          </w:p>
        </w:tc>
        <w:tc>
          <w:tcPr>
            <w:tcW w:w="116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4" Type="http://schemas.openxmlformats.org/officeDocument/2006/relationships/image" Target="media/image15.png"/><Relationship Id="rId35" Type="http://schemas.openxmlformats.org/officeDocument/2006/relationships/image" Target="media/image16.png"/><Relationship Id="rId36" Type="http://schemas.openxmlformats.org/officeDocument/2006/relationships/image" Target="media/image17.jpeg"/><Relationship Id="rId37" Type="http://schemas.openxmlformats.org/officeDocument/2006/relationships/image" Target="media/image18.png"/><Relationship Id="rId38" Type="http://schemas.openxmlformats.org/officeDocument/2006/relationships/image" Target="media/image19.png"/><Relationship Id="rId39" Type="http://schemas.openxmlformats.org/officeDocument/2006/relationships/image" Target="media/image20.png"/><Relationship Id="rId40" Type="http://schemas.openxmlformats.org/officeDocument/2006/relationships/image" Target="media/image21.png"/><Relationship Id="rId41" Type="http://schemas.openxmlformats.org/officeDocument/2006/relationships/image" Target="media/image22.png"/><Relationship Id="rId42" Type="http://schemas.openxmlformats.org/officeDocument/2006/relationships/image" Target="media/image23.png"/><Relationship Id="rId19" Type="http://schemas.openxmlformats.org/officeDocument/2006/relationships/hyperlink" Target="https://www.sec.gov/Archives/edgar/data/1356576/000110465921085584/tm2120680d1_s8.htm" TargetMode="External"/><Relationship Id="rId20" Type="http://schemas.openxmlformats.org/officeDocument/2006/relationships/hyperlink" Target="http://www.sec.gov/Archives/edgar/data/1356576/000110465924072363/tm2417018d1_s8.htm" TargetMode="External"/><Relationship Id="rId21" Type="http://schemas.openxmlformats.org/officeDocument/2006/relationships/hyperlink" Target="https://www.sec.gov/ix?doc=/Archives/edgar/data/1356576/000135657626000011/supn-20251231.htm" TargetMode="External"/><Relationship Id="rId22" Type="http://schemas.openxmlformats.org/officeDocument/2006/relationships/hyperlink" Target="https://www.sec.gov/ix?doc=/Archives/edgar/data/0001356576/000110465926040497/tm2611273d1_8k.htm" TargetMode="External"/><Relationship Id="rId23" Type="http://schemas.openxmlformats.org/officeDocument/2006/relationships/hyperlink" Target="https://www.sec.gov/ix?doc=/Archives/edgar/data/0001356576/000135657626000025/supn-20260517.htm" TargetMode="External"/><Relationship Id="rId24" Type="http://schemas.openxmlformats.org/officeDocument/2006/relationships/hyperlink" Target="http://www.sec.gov/ix?doc=/Archives/edgar/data/1356576/000135657626000028/supn-20260618.htm" TargetMode="External"/><Relationship Id="rId25" Type="http://schemas.openxmlformats.org/officeDocument/2006/relationships/hyperlink" Target="https://www.sec.gov/ix?doc=/Archives/edgar/data/0001356576/000135657626000022/supn-20260331.htm" TargetMode="External"/><Relationship Id="rId26" Type="http://schemas.openxmlformats.org/officeDocument/2006/relationships/hyperlink" Target="https://www.sec.gov/ix?doc=/Archives/edgar/data/0001356576/000110465926053111/tm261453-1_def14a.htm" TargetMode="External"/><Relationship Id="rId27" Type="http://schemas.openxmlformats.org/officeDocument/2006/relationships/hyperlink" Target="https://www.sec.gov/Archives/edgar/data/1356576/000104746914009689/a2222401zs-3.htm" TargetMode="External"/><Relationship Id="rId31" Type="http://schemas.openxmlformats.org/officeDocument/2006/relationships/hyperlink" Target="https://www.sec.gov/Archives/edgar/data/1356576/000104746912010489/a2211796zex-3_1.htm" TargetMode="External"/><Relationship Id="rId32" Type="http://schemas.openxmlformats.org/officeDocument/2006/relationships/hyperlink" Target="https://www.sec.gov/Archives/edgar/data/1356576/000104746912010750/a2211879zex-3_2.htm" TargetMode="External"/><Relationship Id="rId33" Type="http://schemas.openxmlformats.org/officeDocument/2006/relationships/hyperlink" Target="https://www.sec.gov/Archives/edgar/data/1356576/000110465924054023/tm242756d2_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2026-06-22T16:37:33Z</dcterms:created>
  <dcterms:modified xsi:type="dcterms:W3CDTF">2026-06-22T16:37:33Z</dcterms:modified>
</cp:coreProperties>
</file>