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2" w:lineRule="exact"/>
        <w:rPr>
          <w:sz w:val="24"/>
          <w:szCs w:val="24"/>
          <w:color w:val="auto"/>
        </w:rPr>
      </w:pPr>
    </w:p>
    <w:p>
      <w:pPr>
        <w:ind w:left="680" w:right="600" w:hanging="321"/>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80" w:right="580" w:hanging="321"/>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64"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140" w:space="720"/>
            <w:col w:w="456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001-35518</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SUPERNUS PHARMACEUTICALS,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46" w:lineRule="exact"/>
        <w:rPr>
          <w:sz w:val="24"/>
          <w:szCs w:val="24"/>
          <w:color w:val="auto"/>
        </w:rPr>
      </w:pPr>
    </w:p>
    <w:p>
      <w:pPr>
        <w:ind w:left="17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20-2590184</w:t>
      </w:r>
    </w:p>
    <w:p>
      <w:pPr>
        <w:spacing w:after="0" w:line="104" w:lineRule="exact"/>
        <w:rPr>
          <w:sz w:val="24"/>
          <w:szCs w:val="24"/>
          <w:color w:val="auto"/>
        </w:rPr>
      </w:pPr>
    </w:p>
    <w:p>
      <w:pPr>
        <w:sectPr>
          <w:pgSz w:w="11900" w:h="16838" w:orient="portrait"/>
          <w:cols w:equalWidth="0" w:num="2">
            <w:col w:w="8200" w:space="720"/>
            <w:col w:w="2500"/>
          </w:cols>
          <w:pgMar w:left="240" w:top="233" w:right="2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74" w:lineRule="exact"/>
        <w:rPr>
          <w:sz w:val="24"/>
          <w:szCs w:val="24"/>
          <w:color w:val="auto"/>
        </w:rPr>
      </w:pPr>
    </w:p>
    <w:p>
      <w:pPr>
        <w:sectPr>
          <w:pgSz w:w="11900" w:h="16838" w:orient="portrait"/>
          <w:cols w:equalWidth="0" w:num="2">
            <w:col w:w="7980" w:space="720"/>
            <w:col w:w="2720"/>
          </w:cols>
          <w:pgMar w:left="240" w:top="233" w:right="239" w:bottom="1440" w:gutter="0" w:footer="0" w:header="0"/>
          <w:type w:val="continuous"/>
        </w:sectPr>
      </w:pPr>
    </w:p>
    <w:p>
      <w:pPr>
        <w:ind w:left="1300"/>
        <w:spacing w:after="0"/>
        <w:rPr>
          <w:sz w:val="20"/>
          <w:szCs w:val="20"/>
          <w:color w:val="auto"/>
        </w:rPr>
      </w:pPr>
      <w:r>
        <w:rPr>
          <w:rFonts w:ascii="Arial" w:cs="Arial" w:eastAsia="Arial" w:hAnsi="Arial"/>
          <w:sz w:val="15"/>
          <w:szCs w:val="15"/>
          <w:b w:val="1"/>
          <w:bCs w:val="1"/>
          <w:color w:val="auto"/>
        </w:rPr>
        <w:t>1550 East Gude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20850</w:t>
      </w:r>
    </w:p>
    <w:p>
      <w:pPr>
        <w:spacing w:after="0" w:line="89" w:lineRule="exact"/>
        <w:rPr>
          <w:sz w:val="24"/>
          <w:szCs w:val="24"/>
          <w:color w:val="auto"/>
        </w:rPr>
      </w:pPr>
    </w:p>
    <w:p>
      <w:pPr>
        <w:sectPr>
          <w:pgSz w:w="11900" w:h="16838" w:orient="portrait"/>
          <w:cols w:equalWidth="0" w:num="4">
            <w:col w:w="3840" w:space="720"/>
            <w:col w:w="1100" w:space="720"/>
            <w:col w:w="2020" w:space="720"/>
            <w:col w:w="2300"/>
          </w:cols>
          <w:pgMar w:left="240" w:top="233" w:right="239" w:bottom="1440" w:gutter="0" w:footer="0" w:header="0"/>
          <w:type w:val="continuous"/>
        </w:sectPr>
      </w:pPr>
    </w:p>
    <w:p>
      <w:pPr>
        <w:ind w:left="7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59" w:lineRule="exact"/>
        <w:rPr>
          <w:sz w:val="24"/>
          <w:szCs w:val="24"/>
          <w:color w:val="auto"/>
        </w:rPr>
      </w:pPr>
    </w:p>
    <w:p>
      <w:pPr>
        <w:sectPr>
          <w:pgSz w:w="11900" w:h="16838" w:orient="portrait"/>
          <w:cols w:equalWidth="0" w:num="2">
            <w:col w:w="8240" w:space="720"/>
            <w:col w:w="24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838-2500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3"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23"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360" w:type="dxa"/>
        <w:tblCellMar>
          <w:top w:w="0" w:type="dxa"/>
          <w:left w:w="0" w:type="dxa"/>
          <w:bottom w:w="0" w:type="dxa"/>
          <w:right w:w="0" w:type="dxa"/>
        </w:tblCellMar>
      </w:tblPr>
      <w:tr>
        <w:trPr>
          <w:trHeight w:val="283"/>
        </w:trPr>
        <w:tc>
          <w:tcPr>
            <w:tcW w:w="2120" w:type="dxa"/>
            <w:vAlign w:val="bottom"/>
            <w:vMerge w:val="restart"/>
          </w:tcPr>
          <w:p>
            <w:pPr>
              <w:jc w:val="center"/>
              <w:ind w:right="410"/>
              <w:spacing w:after="0"/>
              <w:rPr>
                <w:sz w:val="20"/>
                <w:szCs w:val="20"/>
                <w:color w:val="auto"/>
              </w:rPr>
            </w:pPr>
            <w:r>
              <w:rPr>
                <w:rFonts w:ascii="Arial" w:cs="Arial" w:eastAsia="Arial" w:hAnsi="Arial"/>
                <w:sz w:val="18"/>
                <w:szCs w:val="18"/>
                <w:color w:val="auto"/>
                <w:w w:val="90"/>
              </w:rPr>
              <w:t>Large accelerated filer</w:t>
            </w:r>
          </w:p>
        </w:tc>
        <w:tc>
          <w:tcPr>
            <w:tcW w:w="13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vMerge w:val="restart"/>
          </w:tcPr>
          <w:p>
            <w:pPr>
              <w:jc w:val="center"/>
              <w:ind w:right="170"/>
              <w:spacing w:after="0"/>
              <w:rPr>
                <w:sz w:val="20"/>
                <w:szCs w:val="20"/>
                <w:color w:val="auto"/>
              </w:rPr>
            </w:pPr>
            <w:r>
              <w:rPr>
                <w:rFonts w:ascii="Arial" w:cs="Arial" w:eastAsia="Arial" w:hAnsi="Arial"/>
                <w:sz w:val="18"/>
                <w:szCs w:val="18"/>
                <w:color w:val="auto"/>
                <w:w w:val="94"/>
              </w:rPr>
              <w:t>Accelerated filer</w:t>
            </w:r>
          </w:p>
        </w:tc>
        <w:tc>
          <w:tcPr>
            <w:tcW w:w="1100" w:type="dxa"/>
            <w:vAlign w:val="bottom"/>
            <w:vMerge w:val="restart"/>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0"/>
        </w:trPr>
        <w:tc>
          <w:tcPr>
            <w:tcW w:w="2120" w:type="dxa"/>
            <w:vAlign w:val="bottom"/>
          </w:tcPr>
          <w:p>
            <w:pPr>
              <w:jc w:val="center"/>
              <w:ind w:right="390"/>
              <w:spacing w:after="0"/>
              <w:rPr>
                <w:sz w:val="20"/>
                <w:szCs w:val="20"/>
                <w:color w:val="auto"/>
              </w:rPr>
            </w:pPr>
            <w:r>
              <w:rPr>
                <w:rFonts w:ascii="Arial" w:cs="Arial" w:eastAsia="Arial" w:hAnsi="Arial"/>
                <w:sz w:val="18"/>
                <w:szCs w:val="18"/>
                <w:color w:val="auto"/>
                <w:w w:val="91"/>
              </w:rPr>
              <w:t>Non-accelerated filer</w:t>
            </w:r>
          </w:p>
        </w:tc>
        <w:tc>
          <w:tcPr>
            <w:tcW w:w="13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jc w:val="center"/>
              <w:ind w:right="170"/>
              <w:spacing w:after="0"/>
              <w:rPr>
                <w:sz w:val="20"/>
                <w:szCs w:val="20"/>
                <w:color w:val="auto"/>
              </w:rPr>
            </w:pPr>
            <w:r>
              <w:rPr>
                <w:rFonts w:ascii="Arial" w:cs="Arial" w:eastAsia="Arial" w:hAnsi="Arial"/>
                <w:sz w:val="18"/>
                <w:szCs w:val="18"/>
                <w:color w:val="auto"/>
                <w:w w:val="92"/>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jc w:val="center"/>
              <w:ind w:right="130"/>
              <w:spacing w:after="0"/>
              <w:rPr>
                <w:sz w:val="20"/>
                <w:szCs w:val="20"/>
                <w:color w:val="auto"/>
              </w:rPr>
            </w:pPr>
            <w:r>
              <w:rPr>
                <w:rFonts w:ascii="Arial" w:cs="Arial" w:eastAsia="Arial" w:hAnsi="Arial"/>
                <w:sz w:val="18"/>
                <w:szCs w:val="18"/>
                <w:color w:val="auto"/>
                <w:w w:val="92"/>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340" w:right="184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Exchange Act</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at August 5, 2019</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33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Common Stock, $0.001 par value per share</w:t>
            </w:r>
          </w:p>
        </w:tc>
        <w:tc>
          <w:tcPr>
            <w:tcW w:w="2620" w:type="dxa"/>
            <w:vAlign w:val="bottom"/>
          </w:tcPr>
          <w:p>
            <w:pPr>
              <w:jc w:val="right"/>
              <w:ind w:right="819"/>
              <w:spacing w:after="0"/>
              <w:rPr>
                <w:sz w:val="20"/>
                <w:szCs w:val="20"/>
                <w:color w:val="auto"/>
              </w:rPr>
            </w:pPr>
            <w:r>
              <w:rPr>
                <w:rFonts w:ascii="Arial" w:cs="Arial" w:eastAsia="Arial" w:hAnsi="Arial"/>
                <w:sz w:val="18"/>
                <w:szCs w:val="18"/>
                <w:color w:val="auto"/>
              </w:rPr>
              <w:t>52,449,036</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SUPN</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162"/>
        </w:trPr>
        <w:tc>
          <w:tcPr>
            <w:tcW w:w="3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0000EE"/>
            </w:tcBorders>
            <w:gridSpan w:val="11"/>
          </w:tcPr>
          <w:p>
            <w:pPr>
              <w:spacing w:after="0" w:line="189"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420" w:type="dxa"/>
            <w:vAlign w:val="bottom"/>
            <w:gridSpan w:val="11"/>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 Unaudited Condensed Consolidated Financial Statements</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December 31, 2018</w:t>
              </w:r>
            </w:hyperlink>
          </w:p>
        </w:tc>
        <w:tc>
          <w:tcPr>
            <w:tcW w:w="3560" w:type="dxa"/>
            <w:vAlign w:val="bottom"/>
            <w:gridSpan w:val="6"/>
          </w:tcPr>
          <w:p>
            <w:pPr>
              <w:spacing w:after="0"/>
              <w:rPr>
                <w:sz w:val="19"/>
                <w:szCs w:val="19"/>
                <w:color w:val="auto"/>
              </w:rPr>
            </w:pPr>
          </w:p>
        </w:tc>
        <w:tc>
          <w:tcPr>
            <w:tcW w:w="900" w:type="dxa"/>
            <w:vAlign w:val="bottom"/>
          </w:tcPr>
          <w:p>
            <w:pPr>
              <w:jc w:val="right"/>
              <w:spacing w:after="0"/>
              <w:rPr>
                <w:rFonts w:ascii="Arial" w:cs="Arial" w:eastAsia="Arial" w:hAnsi="Arial"/>
                <w:sz w:val="18"/>
                <w:szCs w:val="18"/>
                <w:color w:val="1E39C6"/>
              </w:rPr>
            </w:pPr>
            <w:hyperlink w:anchor="page3">
              <w:r>
                <w:rPr>
                  <w:rFonts w:ascii="Arial" w:cs="Arial" w:eastAsia="Arial" w:hAnsi="Arial"/>
                  <w:sz w:val="18"/>
                  <w:szCs w:val="18"/>
                  <w:color w:val="1E39C6"/>
                </w:rPr>
                <w:t>3</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Earnings for the three and six month periods ended June 30, 2019 and 2018</w:t>
              </w:r>
            </w:hyperlink>
          </w:p>
        </w:tc>
        <w:tc>
          <w:tcPr>
            <w:tcW w:w="90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00" w:type="dxa"/>
            <w:vAlign w:val="bottom"/>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Earnings for the three and six month periods ended June 30, 2019 and 2018</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00" w:type="dxa"/>
            <w:vAlign w:val="bottom"/>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Stockholders' Equity for the three and six month periods ended June 30, 2019 and</w:t>
              </w:r>
            </w:hyperlink>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5"/>
          </w:tcPr>
          <w:p>
            <w:pPr>
              <w:ind w:left="7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2018</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70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2019 and 2018</w:t>
              </w:r>
            </w:hyperlink>
          </w:p>
        </w:tc>
        <w:tc>
          <w:tcPr>
            <w:tcW w:w="9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3800" w:type="dxa"/>
            <w:vAlign w:val="bottom"/>
            <w:tcBorders>
              <w:top w:val="single" w:sz="8" w:color="0000EE"/>
            </w:tcBorders>
            <w:gridSpan w:val="5"/>
          </w:tcPr>
          <w:p>
            <w:pPr>
              <w:spacing w:after="0"/>
              <w:rPr>
                <w:sz w:val="21"/>
                <w:szCs w:val="21"/>
                <w:color w:val="auto"/>
              </w:rPr>
            </w:pPr>
          </w:p>
        </w:tc>
        <w:tc>
          <w:tcPr>
            <w:tcW w:w="1900" w:type="dxa"/>
            <w:vAlign w:val="bottom"/>
            <w:gridSpan w:val="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70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2900" w:type="dxa"/>
            <w:vAlign w:val="bottom"/>
            <w:gridSpan w:val="5"/>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992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 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4860" w:type="dxa"/>
            <w:vAlign w:val="bottom"/>
            <w:tcBorders>
              <w:top w:val="single" w:sz="8" w:color="0000EE"/>
            </w:tcBorders>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 Controls and Procedures</w:t>
              </w:r>
            </w:hyperlink>
          </w:p>
        </w:tc>
        <w:tc>
          <w:tcPr>
            <w:tcW w:w="5060" w:type="dxa"/>
            <w:vAlign w:val="bottom"/>
            <w:gridSpan w:val="8"/>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8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0" w:type="dxa"/>
            <w:vAlign w:val="bottom"/>
            <w:tcBorders>
              <w:top w:val="single" w:sz="8" w:color="0000EE"/>
            </w:tcBorders>
          </w:tcPr>
          <w:p>
            <w:pPr>
              <w:spacing w:after="0"/>
              <w:rPr>
                <w:sz w:val="21"/>
                <w:szCs w:val="21"/>
                <w:color w:val="auto"/>
              </w:rPr>
            </w:pPr>
          </w:p>
        </w:tc>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280" w:type="dxa"/>
            <w:vAlign w:val="bottom"/>
            <w:tcBorders>
              <w:top w:val="single" w:sz="8" w:color="0000EE"/>
            </w:tcBorders>
          </w:tcPr>
          <w:p>
            <w:pPr>
              <w:spacing w:after="0"/>
              <w:rPr>
                <w:sz w:val="21"/>
                <w:szCs w:val="21"/>
                <w:color w:val="auto"/>
              </w:rPr>
            </w:pPr>
          </w:p>
        </w:tc>
        <w:tc>
          <w:tcPr>
            <w:tcW w:w="7740" w:type="dxa"/>
            <w:vAlign w:val="bottom"/>
            <w:gridSpan w:val="1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8320" w:type="dxa"/>
            <w:vAlign w:val="bottom"/>
            <w:gridSpan w:val="1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992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Unregistered Sales of Equity Securities and Use of Proceeds</w:t>
              </w:r>
            </w:hyperlink>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4900" w:type="dxa"/>
            <w:vAlign w:val="bottom"/>
            <w:tcBorders>
              <w:top w:val="single" w:sz="8" w:color="0000EE"/>
            </w:tcBorders>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 Defaults Upon Senior Securities</w:t>
              </w:r>
            </w:hyperlink>
          </w:p>
        </w:tc>
        <w:tc>
          <w:tcPr>
            <w:tcW w:w="5020" w:type="dxa"/>
            <w:vAlign w:val="bottom"/>
            <w:gridSpan w:val="7"/>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880" w:type="dxa"/>
            <w:vAlign w:val="bottom"/>
            <w:tcBorders>
              <w:top w:val="single" w:sz="8" w:color="0000EE"/>
            </w:tcBorders>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Mine Safety Disclosures</w:t>
              </w:r>
            </w:hyperlink>
          </w:p>
        </w:tc>
        <w:tc>
          <w:tcPr>
            <w:tcW w:w="7040" w:type="dxa"/>
            <w:vAlign w:val="bottom"/>
            <w:gridSpan w:val="10"/>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1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21"/>
                <w:szCs w:val="21"/>
                <w:color w:val="auto"/>
              </w:rPr>
            </w:pPr>
          </w:p>
        </w:tc>
        <w:tc>
          <w:tcPr>
            <w:tcW w:w="7600" w:type="dxa"/>
            <w:vAlign w:val="bottom"/>
            <w:gridSpan w:val="1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11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6. Exhibits</w:t>
              </w:r>
            </w:hyperlink>
          </w:p>
        </w:tc>
        <w:tc>
          <w:tcPr>
            <w:tcW w:w="8760" w:type="dxa"/>
            <w:vAlign w:val="bottom"/>
            <w:gridSpan w:val="17"/>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50"/>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SIGNATURES</w:t>
              </w:r>
            </w:hyperlink>
          </w:p>
        </w:tc>
        <w:tc>
          <w:tcPr>
            <w:tcW w:w="9380" w:type="dxa"/>
            <w:vAlign w:val="bottom"/>
            <w:gridSpan w:val="19"/>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507"/>
        </w:trPr>
        <w:tc>
          <w:tcPr>
            <w:tcW w:w="6920" w:type="dxa"/>
            <w:vAlign w:val="bottom"/>
            <w:gridSpan w:val="16"/>
          </w:tcPr>
          <w:p>
            <w:pPr>
              <w:jc w:val="right"/>
              <w:ind w:right="120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64"/>
        </w:trPr>
        <w:tc>
          <w:tcPr>
            <w:tcW w:w="8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171,222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163,770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102,922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25,659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390,911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493,487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 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418,798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1,063,675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977,811</w:t>
            </w:r>
          </w:p>
        </w:tc>
      </w:tr>
      <w:tr>
        <w:trPr>
          <w:trHeight w:val="67"/>
        </w:trPr>
        <w:tc>
          <w:tcPr>
            <w:tcW w:w="88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64"/>
        </w:trPr>
        <w:tc>
          <w:tcPr>
            <w:tcW w:w="8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product returns and rebates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107,063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36,535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161,353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337,210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329,462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liabilities, long term</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540,771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524,788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Common stock, $0.001 par value, 130,000,000 shares authorized 52,449,036 and 52,316,583 shares issued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as of June 30, 2019 and December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379,369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369,637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earnings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137,559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86,492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522,904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453,023</w:t>
            </w:r>
          </w:p>
        </w:tc>
      </w:tr>
      <w:tr>
        <w:trPr>
          <w:trHeight w:val="277"/>
        </w:trPr>
        <w:tc>
          <w:tcPr>
            <w:tcW w:w="8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1,063,675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977,811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74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4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6"/>
                <w:szCs w:val="16"/>
                <w:color w:val="auto"/>
              </w:rPr>
            </w:pPr>
          </w:p>
        </w:tc>
        <w:tc>
          <w:tcPr>
            <w:tcW w:w="22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22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102,358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185,457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186,150</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Licensing revenues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190,169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189,967</w:t>
            </w:r>
          </w:p>
        </w:tc>
      </w:tr>
      <w:tr>
        <w:trPr>
          <w:trHeight w:val="291"/>
        </w:trPr>
        <w:tc>
          <w:tcPr>
            <w:tcW w:w="6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Cost of product sales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6,961</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41,083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82,051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76,946</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62,097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122,143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122,853</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earnings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68,026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67,114</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 (expenses), net</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(2,076)</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66,985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65,038</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7,949</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97"/>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52,385,590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w w:val="93"/>
              </w:rPr>
              <w:t>51,919,894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w w:val="93"/>
              </w:rPr>
              <w:t>52,361,149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w w:val="93"/>
              </w:rPr>
              <w:t>51,729,243</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53,912,977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3"/>
              </w:rPr>
              <w:t>54,203,308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53,947,834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54,021,941</w:t>
            </w:r>
          </w:p>
        </w:tc>
      </w:tr>
      <w:tr>
        <w:trPr>
          <w:trHeight w:val="27"/>
        </w:trPr>
        <w:tc>
          <w:tcPr>
            <w:tcW w:w="6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92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1"/>
              </w:rPr>
              <w:t>Six Months ended</w:t>
            </w:r>
          </w:p>
        </w:tc>
      </w:tr>
      <w:tr>
        <w:trPr>
          <w:trHeight w:val="192"/>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124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1"/>
                <w:szCs w:val="21"/>
                <w:color w:val="auto"/>
              </w:rPr>
            </w:pPr>
          </w:p>
        </w:tc>
        <w:tc>
          <w:tcPr>
            <w:tcW w:w="12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21"/>
                <w:szCs w:val="21"/>
                <w:color w:val="auto"/>
              </w:rPr>
            </w:pPr>
          </w:p>
        </w:tc>
      </w:tr>
      <w:tr>
        <w:trPr>
          <w:trHeight w:val="182"/>
        </w:trPr>
        <w:tc>
          <w:tcPr>
            <w:tcW w:w="7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w w:val="94"/>
              </w:rPr>
              <w:t>32,727</w:t>
            </w: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w w:val="94"/>
              </w:rPr>
              <w:t>$ 30,737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51,067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57,089</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37,224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$ 28,909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60,149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53,717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 Periods ended June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32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2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100" w:type="dxa"/>
            <w:vAlign w:val="bottom"/>
            <w:vMerge w:val="restart"/>
          </w:tcPr>
          <w:p>
            <w:pPr>
              <w:jc w:val="center"/>
              <w:ind w:right="74"/>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Earnings (Loss)</w:t>
            </w:r>
          </w:p>
        </w:tc>
        <w:tc>
          <w:tcPr>
            <w:tcW w:w="24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52,316,583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57,665</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2019</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52,374,248</w:t>
            </w:r>
          </w:p>
        </w:tc>
        <w:tc>
          <w:tcPr>
            <w:tcW w:w="140" w:type="dxa"/>
            <w:vAlign w:val="bottom"/>
          </w:tcPr>
          <w:p>
            <w:pPr>
              <w:spacing w:after="0"/>
              <w:rPr>
                <w:sz w:val="20"/>
                <w:szCs w:val="20"/>
                <w:color w:val="auto"/>
              </w:rPr>
            </w:pPr>
          </w:p>
        </w:tc>
        <w:tc>
          <w:tcPr>
            <w:tcW w:w="92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373,707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104,832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480,018</w:t>
            </w:r>
          </w:p>
        </w:tc>
        <w:tc>
          <w:tcPr>
            <w:tcW w:w="0" w:type="dxa"/>
            <w:vAlign w:val="bottom"/>
          </w:tcPr>
          <w:p>
            <w:pPr>
              <w:spacing w:after="0"/>
              <w:rPr>
                <w:sz w:val="1"/>
                <w:szCs w:val="1"/>
                <w:color w:val="auto"/>
              </w:rPr>
            </w:pPr>
          </w:p>
        </w:tc>
      </w:tr>
      <w:tr>
        <w:trPr>
          <w:trHeight w:val="67"/>
        </w:trPr>
        <w:tc>
          <w:tcPr>
            <w:tcW w:w="29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ESPP shares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48,950</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25,838</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32,727</w:t>
            </w: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Unrealized gain on marketable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2019</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52,449,036</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522,904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 Periods ended 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320" w:type="dxa"/>
            <w:vAlign w:val="bottom"/>
            <w:gridSpan w:val="3"/>
            <w:vMerge w:val="restart"/>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5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(Accumulated</w:t>
            </w:r>
          </w:p>
        </w:tc>
        <w:tc>
          <w:tcPr>
            <w:tcW w:w="160" w:type="dxa"/>
            <w:vAlign w:val="bottom"/>
          </w:tcPr>
          <w:p>
            <w:pPr>
              <w:spacing w:after="0"/>
              <w:rPr>
                <w:sz w:val="10"/>
                <w:szCs w:val="10"/>
                <w:color w:val="auto"/>
              </w:rPr>
            </w:pPr>
          </w:p>
        </w:tc>
        <w:tc>
          <w:tcPr>
            <w:tcW w:w="110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51,314,850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267,480</w:t>
            </w: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w w:val="93"/>
              </w:rPr>
              <w:t>Cumulative-effect of adoption of ASC</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606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51,314,850</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269,802</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319,141</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Equity component of convertible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notes, net of tax</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56,215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Purchase of convertible note hedges,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of tax</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Issuance of warrants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26,352</w:t>
            </w: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Unrealized loss on marketable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51,633,991</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352,257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351,869</w:t>
            </w:r>
          </w:p>
        </w:tc>
        <w:tc>
          <w:tcPr>
            <w:tcW w:w="0" w:type="dxa"/>
            <w:vAlign w:val="bottom"/>
          </w:tcPr>
          <w:p>
            <w:pPr>
              <w:spacing w:after="0"/>
              <w:rPr>
                <w:sz w:val="1"/>
                <w:szCs w:val="1"/>
                <w:color w:val="auto"/>
              </w:rPr>
            </w:pPr>
          </w:p>
        </w:tc>
      </w:tr>
      <w:tr>
        <w:trPr>
          <w:trHeight w:val="318"/>
        </w:trPr>
        <w:tc>
          <w:tcPr>
            <w:tcW w:w="29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Issuance of ESPP shares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34,676</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510,667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30,737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June 30, 2018</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52,179,334</w:t>
            </w:r>
          </w:p>
        </w:tc>
        <w:tc>
          <w:tcPr>
            <w:tcW w:w="140" w:type="dxa"/>
            <w:vAlign w:val="bottom"/>
          </w:tcPr>
          <w:p>
            <w:pPr>
              <w:spacing w:after="0"/>
              <w:rPr>
                <w:sz w:val="20"/>
                <w:szCs w:val="20"/>
                <w:color w:val="auto"/>
              </w:rPr>
            </w:pPr>
          </w:p>
        </w:tc>
        <w:tc>
          <w:tcPr>
            <w:tcW w:w="92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361,971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32,588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390,492</w:t>
            </w:r>
          </w:p>
        </w:tc>
        <w:tc>
          <w:tcPr>
            <w:tcW w:w="0" w:type="dxa"/>
            <w:vAlign w:val="bottom"/>
          </w:tcPr>
          <w:p>
            <w:pPr>
              <w:spacing w:after="0"/>
              <w:rPr>
                <w:sz w:val="1"/>
                <w:szCs w:val="1"/>
                <w:color w:val="auto"/>
              </w:rPr>
            </w:pPr>
          </w:p>
        </w:tc>
      </w:tr>
      <w:tr>
        <w:trPr>
          <w:trHeight w:val="67"/>
        </w:trPr>
        <w:tc>
          <w:tcPr>
            <w:tcW w:w="29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51,067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57,089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loss on sales of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3,487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operating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premium/discount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royalty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product returns and rebates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61,680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33,689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15"/>
        </w:trPr>
        <w:tc>
          <w:tcPr>
            <w:tcW w:w="8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96,165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19,466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legal fees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(169,007)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(473,147)</w:t>
            </w:r>
          </w:p>
        </w:tc>
      </w:tr>
      <w:tr>
        <w:trPr>
          <w:trHeight w:val="115"/>
        </w:trPr>
        <w:tc>
          <w:tcPr>
            <w:tcW w:w="85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notes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402,500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notes issuance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warrants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65,688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convertible note hedges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9,503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374,359</w:t>
            </w:r>
          </w:p>
        </w:tc>
      </w:tr>
      <w:tr>
        <w:trPr>
          <w:trHeight w:val="115"/>
        </w:trPr>
        <w:tc>
          <w:tcPr>
            <w:tcW w:w="85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(65,099)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192,248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100,304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paid for interest on convertible notes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29,279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w:t>
            </w:r>
          </w:p>
        </w:tc>
      </w:tr>
      <w:tr>
        <w:trPr>
          <w:trHeight w:val="122"/>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legal fees included in accounts payable and accrued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assets and tenant receivable obtained for new operating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31,727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25"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the CNS market.</w:t>
      </w:r>
    </w:p>
    <w:p>
      <w:pPr>
        <w:spacing w:after="0" w:line="14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launched Oxtellar XR and Trokendi XR for the treatment of epilepsy in 2013, launched Trokendi XR for the prophylaxis of migraine headache in adolescents and adults in April 2017 and launched Oxtellar XR with an expanded indication to include monotherapy for partial seizures in January 2019.</w:t>
      </w:r>
    </w:p>
    <w:p>
      <w:pPr>
        <w:spacing w:after="0" w:line="137" w:lineRule="exact"/>
        <w:rPr>
          <w:sz w:val="20"/>
          <w:szCs w:val="20"/>
          <w:color w:val="auto"/>
        </w:rPr>
      </w:pPr>
    </w:p>
    <w:p>
      <w:pPr>
        <w:ind w:right="7700" w:firstLine="8"/>
        <w:spacing w:after="0" w:line="456"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660" w:firstLine="648"/>
        <w:spacing w:after="0" w:line="312" w:lineRule="auto"/>
        <w:rPr>
          <w:sz w:val="20"/>
          <w:szCs w:val="20"/>
          <w:color w:val="auto"/>
        </w:rPr>
      </w:pPr>
      <w:r>
        <w:rPr>
          <w:rFonts w:ascii="Arial" w:cs="Arial" w:eastAsia="Arial" w:hAnsi="Arial"/>
          <w:sz w:val="16"/>
          <w:szCs w:val="16"/>
          <w:color w:val="auto"/>
        </w:rPr>
        <w:t>The Company’s condensed consolidated financial statements include the accounts of Supernus Pharmaceuticals, Inc., Supernus Europe Ltd., Biscayne Neurotherapeutics, Inc. and its wholly-owned subsidiary, Biscayne Neurotherapeutics Australia Pty Ltd., collectively referred to herein as “Supernus” or “the Company.” All significant intercompany transactions and balances have been eliminated in consolidation.</w:t>
      </w:r>
    </w:p>
    <w:p>
      <w:pPr>
        <w:spacing w:after="0" w:line="1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financial statements should be read in conjunction with the Company’s most recent Annual Report on Form 10-K for the year ended December 31, 2018, filed with the SEC.</w:t>
      </w:r>
    </w:p>
    <w:p>
      <w:pPr>
        <w:spacing w:after="0" w:line="14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bases its estimates on: historical experience; various forecasts; information received from its service providers; and other assumptions that the Company believes are reasonable under the circumstances. Actual results could differ materially from the Company’s estimates. The Company evaluates the methodologies employed in its estimates on an ongoing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 recognizes revenue when physical control of goods or provision of services are transferred to the Company’s customers, in an amount that reflects the consideration the Company expects to receive in exchange for those goods or services. The Company does not adjust revenue for any financing effects for transactions where the Company expects the period between the transfer of the goods or services and collection to be less than one year.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contract assets or liabilities recorded as of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18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Company’s products are distributed to its customers through a third party fulfillment center. The Company’s customers, who are primarily pharmaceutical wholesalers and distributors, purchase product to fulfill orders from retail pharmacy chains and independent pharmacies of varying size and purchasing power. The Company recognizes gross revenue when its products are received by its customers after shipment from the fulfillment center. Customers take control of the products, including title and ownership, upon physical receipt of our products at their facilities.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Product sales are recorded net of various forms of variable consideration, including: estimated rebates; an estimated liability for future product returns and discounts; (collectively, “sales deductions”).</w:t>
      </w:r>
    </w:p>
    <w:p>
      <w:pPr>
        <w:spacing w:after="0" w:line="130"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As described below, variability in the net transaction price for the Company’s products arises primarily from sales deductions. Significant judgment is required in estimating sales deductions. In making these estimates, the Company considers: historical experience; product price increases; current contract prices under applicable programs; unbilled claims; processing time lags; and inventory levels in the distribution channel. The Company adjusts its estimates of revenue either when the most likely amount of consideration it expects to receive changes, or when the consideration becomes fixed.</w:t>
      </w:r>
    </w:p>
    <w:p>
      <w:pPr>
        <w:spacing w:after="0" w:line="1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actual results in the future vary from estimates, the Company adjusts these estimates. These adjustments could materially affect net product sales and earnings in the period that such adjustments are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Sales deductions are primarily comprised of: estimated rebates; an estimated liability for future product returns and discounts. The Company records product sales net of the following sales deductions:</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Rebates are discounts which the Company pays under either public sector or private sector health care programs. Public sector rebate</w:t>
      </w:r>
    </w:p>
    <w:p>
      <w:pPr>
        <w:spacing w:after="0" w:line="46" w:lineRule="exact"/>
        <w:rPr>
          <w:rFonts w:ascii="Arial" w:cs="Arial" w:eastAsia="Arial" w:hAnsi="Arial"/>
          <w:sz w:val="16"/>
          <w:szCs w:val="16"/>
          <w:color w:val="auto"/>
        </w:rPr>
      </w:pPr>
    </w:p>
    <w:p>
      <w:pPr>
        <w:ind w:left="660" w:right="40"/>
        <w:spacing w:after="0" w:line="290" w:lineRule="auto"/>
        <w:rPr>
          <w:rFonts w:ascii="Arial" w:cs="Arial" w:eastAsia="Arial" w:hAnsi="Arial"/>
          <w:sz w:val="16"/>
          <w:szCs w:val="16"/>
          <w:color w:val="auto"/>
        </w:rPr>
      </w:pPr>
      <w:r>
        <w:rPr>
          <w:rFonts w:ascii="Arial" w:cs="Arial" w:eastAsia="Arial" w:hAnsi="Arial"/>
          <w:sz w:val="16"/>
          <w:szCs w:val="16"/>
          <w:color w:val="auto"/>
        </w:rPr>
        <w:t>programs encompass: various Medicaid Drug Rebate Programs; Medicare Coverage Gap Programs; and programs covering public health service institutions and government entities. All federal employees and agencies purchase drugs under the Federal Supply Schedule. Private sector rebate programs include: contractual agreements with managed care providers, under which the Company pays fees to gain access to that provider’s patient drug formulary; and Company sponsored programs, under which the Company defrays or eliminates patient co-payment charges that the patient would otherwise pay to their managed care provider. Rebates paid under public sector programs are generally mandated under law, whereas private sector rebates are generally contractually negotiated by the Company with managed care providers.</w:t>
      </w:r>
    </w:p>
    <w:p>
      <w:pPr>
        <w:spacing w:after="0" w:line="124" w:lineRule="exact"/>
        <w:rPr>
          <w:sz w:val="20"/>
          <w:szCs w:val="20"/>
          <w:color w:val="auto"/>
        </w:rPr>
      </w:pPr>
    </w:p>
    <w:p>
      <w:pPr>
        <w:ind w:left="660" w:right="60" w:firstLine="810"/>
        <w:spacing w:after="0" w:line="273" w:lineRule="auto"/>
        <w:rPr>
          <w:sz w:val="20"/>
          <w:szCs w:val="20"/>
          <w:color w:val="auto"/>
        </w:rPr>
      </w:pPr>
      <w:r>
        <w:rPr>
          <w:rFonts w:ascii="Arial" w:cs="Arial" w:eastAsia="Arial" w:hAnsi="Arial"/>
          <w:sz w:val="17"/>
          <w:szCs w:val="17"/>
          <w:color w:val="auto"/>
        </w:rPr>
        <w:t>Rebates are owed upon dispensing our product to a patient; i.e., filling a prescription. The accrual balance for rebates consists of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to cover prescriptions dispensed in past quarters. Third, the accrual balance includes an estimate for rebates that will be prospectively owed, for prescriptions filled in future quarters, that is, for product which has been sold to wholesalers or distributors, and which resides either as wholesaler/distributor inventory, or is held as inventory at pharmacies.</w:t>
      </w:r>
    </w:p>
    <w:p>
      <w:pPr>
        <w:spacing w:after="0" w:line="138" w:lineRule="exact"/>
        <w:rPr>
          <w:sz w:val="20"/>
          <w:szCs w:val="20"/>
          <w:color w:val="auto"/>
        </w:rPr>
      </w:pPr>
    </w:p>
    <w:p>
      <w:pPr>
        <w:ind w:left="660" w:right="80" w:firstLine="810"/>
        <w:spacing w:after="0" w:line="272" w:lineRule="auto"/>
        <w:rPr>
          <w:sz w:val="20"/>
          <w:szCs w:val="20"/>
          <w:color w:val="auto"/>
        </w:rPr>
      </w:pPr>
      <w:r>
        <w:rPr>
          <w:rFonts w:ascii="Arial" w:cs="Arial" w:eastAsia="Arial" w:hAnsi="Arial"/>
          <w:sz w:val="17"/>
          <w:szCs w:val="17"/>
          <w:color w:val="auto"/>
        </w:rPr>
        <w:t xml:space="preserve">The Company’s estimates of expected rebate claims vary by program and by type of customer, because of the period from the date on which the prescription is filled to the date the Company receives and pays the invoice varies,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 assistance programs; and anticipated changes in program utilization rates (i.e., patient participation rates). The Company records an estimated liability for rebates at the time the customer takes title to the product (i.e., at the time of sale to wholesalers/distributors), and records this liability as a reduction to gross product sales and an increase in </w:t>
      </w:r>
      <w:r>
        <w:rPr>
          <w:rFonts w:ascii="Arial" w:cs="Arial" w:eastAsia="Arial" w:hAnsi="Arial"/>
          <w:sz w:val="17"/>
          <w:szCs w:val="17"/>
          <w:i w:val="1"/>
          <w:iCs w:val="1"/>
          <w:color w:val="auto"/>
        </w:rPr>
        <w:t>Accrued product returns and rebates</w:t>
      </w:r>
      <w:r>
        <w:rPr>
          <w:rFonts w:ascii="Arial" w:cs="Arial" w:eastAsia="Arial" w:hAnsi="Arial"/>
          <w:sz w:val="17"/>
          <w:szCs w:val="17"/>
          <w:color w:val="auto"/>
        </w:rPr>
        <w:t xml:space="preserve"> in current liabilities.</w:t>
      </w:r>
    </w:p>
    <w:p>
      <w:pPr>
        <w:spacing w:after="0" w:line="137" w:lineRule="exact"/>
        <w:rPr>
          <w:sz w:val="20"/>
          <w:szCs w:val="20"/>
          <w:color w:val="auto"/>
        </w:rPr>
      </w:pPr>
    </w:p>
    <w:p>
      <w:pPr>
        <w:ind w:left="660" w:firstLine="810"/>
        <w:spacing w:after="0" w:line="286" w:lineRule="auto"/>
        <w:rPr>
          <w:sz w:val="20"/>
          <w:szCs w:val="20"/>
          <w:color w:val="auto"/>
        </w:rPr>
      </w:pPr>
      <w:r>
        <w:rPr>
          <w:rFonts w:ascii="Arial" w:cs="Arial" w:eastAsia="Arial" w:hAnsi="Arial"/>
          <w:sz w:val="17"/>
          <w:szCs w:val="17"/>
          <w:color w:val="auto"/>
        </w:rPr>
        <w:t>The sensitivity of the Company’s estimates varies by program and by type of customer. If actual rebates vary from estimated amounts, the Company may need to adjust the balances of such accrued rebates to reflect actual experience with respect to these programs. These changes could materially affect the estimated liability balance, net product sales and earnings in the period of adjustment.</w:t>
      </w:r>
    </w:p>
    <w:p>
      <w:pPr>
        <w:spacing w:after="0" w:line="125" w:lineRule="exact"/>
        <w:rPr>
          <w:sz w:val="20"/>
          <w:szCs w:val="20"/>
          <w:color w:val="auto"/>
        </w:rPr>
      </w:pPr>
    </w:p>
    <w:p>
      <w:pPr>
        <w:ind w:left="660" w:right="180" w:hanging="328"/>
        <w:spacing w:after="0" w:line="279"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Returns</w:t>
      </w:r>
      <w:r>
        <w:rPr>
          <w:rFonts w:ascii="Arial" w:cs="Arial" w:eastAsia="Arial" w:hAnsi="Arial"/>
          <w:sz w:val="17"/>
          <w:szCs w:val="17"/>
          <w:color w:val="auto"/>
        </w:rPr>
        <w:t>: Sale of the Company’s products are not subject to a general right of return. Product that has been used to fill patient prescriptions is no</w:t>
      </w:r>
      <w:r>
        <w:rPr>
          <w:rFonts w:ascii="Arial" w:cs="Arial" w:eastAsia="Arial" w:hAnsi="Arial"/>
          <w:sz w:val="17"/>
          <w:szCs w:val="17"/>
          <w:i w:val="1"/>
          <w:iCs w:val="1"/>
          <w:color w:val="auto"/>
        </w:rPr>
        <w:t xml:space="preserve"> </w:t>
      </w:r>
      <w:r>
        <w:rPr>
          <w:rFonts w:ascii="Arial" w:cs="Arial" w:eastAsia="Arial" w:hAnsi="Arial"/>
          <w:sz w:val="17"/>
          <w:szCs w:val="17"/>
          <w:color w:val="auto"/>
        </w:rPr>
        <w:t>longer subject to any right of return. However, the Company will accept return of product that is damaged or defective when shipped from its third party fulfillment center. In addition, the Company will accept return of expired product six months prior to and up to 12 months subsequent to the product’s expiry date. Expired or defective returned product cannot be re-sold and is therefore destroyed.</w:t>
      </w:r>
    </w:p>
    <w:p>
      <w:pPr>
        <w:spacing w:after="0" w:line="131" w:lineRule="exact"/>
        <w:rPr>
          <w:sz w:val="20"/>
          <w:szCs w:val="20"/>
          <w:color w:val="auto"/>
        </w:rPr>
      </w:pPr>
    </w:p>
    <w:p>
      <w:pPr>
        <w:jc w:val="both"/>
        <w:ind w:left="660" w:right="20" w:firstLine="810"/>
        <w:spacing w:after="0" w:line="259" w:lineRule="auto"/>
        <w:rPr>
          <w:sz w:val="20"/>
          <w:szCs w:val="20"/>
          <w:color w:val="auto"/>
        </w:rPr>
      </w:pPr>
      <w:r>
        <w:rPr>
          <w:rFonts w:ascii="Arial" w:cs="Arial" w:eastAsia="Arial" w:hAnsi="Arial"/>
          <w:sz w:val="18"/>
          <w:szCs w:val="18"/>
          <w:color w:val="auto"/>
        </w:rPr>
        <w:t xml:space="preserve">The Company records an estimated liability for product returns at the time the customer takes title to the product (i.e., at time of sale) as a reduction to gross product sales and an increase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in current liabilities. The Company estimates the liability for returns based on the actual returns experience for its two commercial products, in conjunction with industry experience for return of similar products (i.e., ambient temperature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storage for oral formulations). Because the Company’s products have not reached maturity, the return rate of its products has and is expected to continue to vary.</w:t>
      </w:r>
    </w:p>
    <w:p>
      <w:pPr>
        <w:spacing w:after="0" w:line="130" w:lineRule="exact"/>
        <w:rPr>
          <w:sz w:val="20"/>
          <w:szCs w:val="20"/>
          <w:color w:val="auto"/>
        </w:rPr>
      </w:pPr>
    </w:p>
    <w:p>
      <w:pPr>
        <w:ind w:left="660" w:right="40" w:firstLine="810"/>
        <w:spacing w:after="0" w:line="291" w:lineRule="auto"/>
        <w:rPr>
          <w:sz w:val="20"/>
          <w:szCs w:val="20"/>
          <w:color w:val="auto"/>
        </w:rPr>
      </w:pPr>
      <w:r>
        <w:rPr>
          <w:rFonts w:ascii="Arial" w:cs="Arial" w:eastAsia="Arial" w:hAnsi="Arial"/>
          <w:sz w:val="16"/>
          <w:szCs w:val="16"/>
          <w:color w:val="auto"/>
        </w:rPr>
        <w:t>The Company’s estimated liability for product returns is also affected by price increases taken subsequent to the date of sale. The Company’s products have a shelf life of 48 months from date of manufacture. Because of the extended shelf life, coupled with its return policy, there typically is a significant time lag between the time at which the product is sold and when the Company issues credit on expired product. The Company’s policy generally permits product returns to be processed at current wholesaler price rather than historical acquisition price. Therefore, price increase(s) taken during the current period increase(s) the liability for product returns because it affects the estimated liability for product returns for both sales made in the current period as well as sales made in prior periods. When the Company adjusts its estimates for product returns, either favorably or unfavorably, this adjustment affects the estimated liability, product sales and earnings in the period of adjustment.</w:t>
      </w:r>
    </w:p>
    <w:p>
      <w:pPr>
        <w:spacing w:after="0" w:line="127" w:lineRule="exact"/>
        <w:rPr>
          <w:sz w:val="20"/>
          <w:szCs w:val="20"/>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Sales discounts</w:t>
      </w:r>
      <w:r>
        <w:rPr>
          <w:rFonts w:ascii="Arial" w:cs="Arial" w:eastAsia="Arial" w:hAnsi="Arial"/>
          <w:sz w:val="18"/>
          <w:szCs w:val="18"/>
          <w:color w:val="auto"/>
        </w:rPr>
        <w:t>: Distributors and wholesalers of pharmaceutical products are generally offered various forms of consideration, including allowances,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fees and prompt payment discounts for distributing our products. Distributor and wholesaler allowances and service fees arise from contractual agreements and are estimated as a percentage of the price at which the Company sells product to them. In addition, they are offered a prompt pay discount for payment within a specified period.</w:t>
      </w:r>
    </w:p>
    <w:p>
      <w:pPr>
        <w:spacing w:after="0" w:line="146" w:lineRule="exact"/>
        <w:rPr>
          <w:sz w:val="20"/>
          <w:szCs w:val="20"/>
          <w:color w:val="auto"/>
        </w:rPr>
      </w:pPr>
    </w:p>
    <w:p>
      <w:pPr>
        <w:ind w:left="660" w:right="820" w:firstLine="648"/>
        <w:spacing w:after="0" w:line="277" w:lineRule="auto"/>
        <w:rPr>
          <w:sz w:val="20"/>
          <w:szCs w:val="20"/>
          <w:color w:val="auto"/>
        </w:rPr>
      </w:pPr>
      <w:r>
        <w:rPr>
          <w:rFonts w:ascii="Arial" w:cs="Arial" w:eastAsia="Arial" w:hAnsi="Arial"/>
          <w:sz w:val="18"/>
          <w:szCs w:val="18"/>
          <w:color w:val="auto"/>
        </w:rPr>
        <w:t xml:space="preserve">The Company accounts for these discounts at the time of sale, as a reduction to gross product sales, and records these amounts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w:t>
      </w:r>
    </w:p>
    <w:p>
      <w:pPr>
        <w:spacing w:after="0" w:line="130" w:lineRule="exact"/>
        <w:rPr>
          <w:sz w:val="20"/>
          <w:szCs w:val="20"/>
          <w:color w:val="auto"/>
        </w:rPr>
      </w:pPr>
    </w:p>
    <w:p>
      <w:pPr>
        <w:ind w:left="660" w:right="100" w:firstLine="648"/>
        <w:spacing w:after="0" w:line="308" w:lineRule="auto"/>
        <w:rPr>
          <w:sz w:val="20"/>
          <w:szCs w:val="20"/>
          <w:color w:val="auto"/>
        </w:rPr>
      </w:pPr>
      <w:r>
        <w:rPr>
          <w:rFonts w:ascii="Arial" w:cs="Arial" w:eastAsia="Arial" w:hAnsi="Arial"/>
          <w:sz w:val="17"/>
          <w:szCs w:val="17"/>
          <w:color w:val="auto"/>
        </w:rPr>
        <w:t>Customer orders are generally fulfilled within a few days of receipt, resulting in minimal order backlog. Open purchase orders for products from customers are expected to be fulfilled within the next 12 months. There are no minimum product purchase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entered into collaboration agreements to commercialize both Oxtellar XR and Trokendi XR outside of the U.S., which agreements include the right to use the Company’s intellectual property as a functional license. These agreements generally include an up-front license fee and ongoing milestone payments upon the achievement of specific events. These agreements may also require minimum royalty payments, based on sales of products developed from the applicable intellectual property.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Up-front license fees are recognized once the license has been executed between the Company and its licensee.</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Milestones are a form of variable consideration that are recognized when either the underlying events have been achieved (i.e., event-based milestone) or when the sales-based targets have been met by the collaborative partner (i.e., sales-based milestone). Both types of milestone payments are non-refundable. The Company evaluates whether achieving the milestones is considered probable and estimates the amount of the milestone to be included in the transaction price using the most likely amount method. The value of the associated milestone is not included in the transaction price if it is probable that a significant revenue reversal would occur. This estimation can involve management’s judgment that includes assessing factors that are outside of the Company’s influence, such as: likelihood of regulatory success; availability of third party information; and expected duration of time until achievement of the event. These factors are evaluated based on the specific facts and circumstances.</w:t>
      </w:r>
    </w:p>
    <w:p>
      <w:pPr>
        <w:spacing w:after="0" w:line="13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Event-based milestones are recognized in the period that the related event, such as regulatory approval, occurs. Milestone payments that are not within the control of the Company, such as approval from regulatory authorities, or where attainment of the specified event is dependent on the success of a third-party, are not considered probable until the specified event occurs. Sales-based milestones are recognized as revenue when the sales-based target is achieved. Revenue is recognized from the satisfaction of performance obligations in the amount billable to the customer.</w:t>
      </w:r>
    </w:p>
    <w:p>
      <w:pPr>
        <w:spacing w:after="0" w:line="13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Revenue associated with future milestones will be recognized when the related event occurs or the sales-based target is achieved. No guaranteed minimum amounts are owed to the Company related to license and collaboration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Revenues</w:t>
      </w:r>
    </w:p>
    <w:p>
      <w:pPr>
        <w:spacing w:after="0" w:line="1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recognizes non-cash royalty revenue for amounts earned pursuant to a royalty agreement with United Therapeutics Corporation (United Therapeutics), which agreement includes the right to use the Company’s intellectual property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 functional license. In 2014, the Company sold certain of these royalty rights to Healthcare Royalty Partners III, L.P. (HC Royalty) (see Note 17, Commitments and Contingencies). Accordingly, the Company records non-cash royalty revenue based on estimated product sales by United Therapeutics, in which sales of United Therapeutics' product, result in payments made from United Therapeutics to HC Royalty in connection with these agreements.</w:t>
      </w:r>
    </w:p>
    <w:p>
      <w:pPr>
        <w:spacing w:after="0" w:line="10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Royalty revenue also includes royalty amounts received from collaboration partners, including from Shire Plc (Shire) (now a subsidiary of Takeda Pharmaceutical Company Ltd), based on net product sales of Shire’s product, Mydayis, in the current period. Royalty revenue is only recognized when the underlying product sale by Shire occurs. The Shire arrangement also includes Shire's right to use the Company’s intellectual property as a functional license.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any royalty revenue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the Company’s behalf. In recording service fees, the Company estimates the time period over which the related services are performed and compares the level of effort expended through the end of each period with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Company recognizes share-based compensation expense over the service period using the straight-line method. Employee share-based compensation is measured based on estimated fair value as of the grant date. The Company uses the Black-Scholes option-pricing model in calculating the fair value of option grants as of the grant date. The Company uses the following assumptions for estimating fair value of option grants:</w:t>
      </w:r>
    </w:p>
    <w:p>
      <w:pPr>
        <w:spacing w:after="0" w:line="10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common stock underlying the option grants is determined based on observable market prices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w:t>
      </w:r>
    </w:p>
    <w:p>
      <w:pPr>
        <w:spacing w:after="0" w:line="13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—Volatility is a measure of the amount by which the Company’s share price has fluctuated (i.e.,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(i.e., expected volatility) during a period. Beginning in the first quarter of 2019, the Company began using the historical volatility of its common stock to measure expected volatility for future option grants. Prior to the first quarter of 2019, volatility was estimated using the volatility of the common stock of several public entities of similar size, complexity, and stage of development as well as taking into consideration the Company’s actual volatility since the Company’s IPO in 2012.</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w:t>
      </w:r>
    </w:p>
    <w:p>
      <w:pPr>
        <w:spacing w:after="0" w:line="18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—This is the period of time during which options are expected to remain unexercised. Options have a maximum contractual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ten years. Beginning in the first quarter of 2019, the Company began estimating the average expected life of stock options using its historical experience. Prior to the first quarter of 2019, the Company determined the average expected life of stock options according to the “simplified method”, as described in Staff Accounting Bulletin 110, which is the mid-point between the vesting date and the end of the contractual term.</w:t>
      </w:r>
    </w:p>
    <w:p>
      <w:pPr>
        <w:spacing w:after="0" w:line="13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U.S. Treasury Note rate as of the week each option grant is issued, with a term that most closely resembles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Forfeiture Rate</w:t>
      </w:r>
      <w:r>
        <w:rPr>
          <w:rFonts w:ascii="Arial" w:cs="Arial" w:eastAsia="Arial" w:hAnsi="Arial"/>
          <w:sz w:val="18"/>
          <w:szCs w:val="18"/>
          <w:color w:val="auto"/>
        </w:rPr>
        <w:t>—Forfeitures are accounted for as they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w:t>
      </w:r>
    </w:p>
    <w:p>
      <w:pPr>
        <w:spacing w:after="0" w:line="18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As of January 1, 2019, the Company self-insures its employee medical insurance liability. The self-insurance liability is undiscounted and is determined actuarially. It is based on claims filed, historical and industry claims experience, and an estimate of claims incurred but not yet paid. The Company has established stop-loss amounts that limit the Company’s further exposure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after a claim reaches the designated stop-loss threshold. The stop-loss limit for self-insured employee medical claims is $150,000 per employee per year.</w:t>
      </w:r>
    </w:p>
    <w:p>
      <w:pPr>
        <w:spacing w:after="0" w:line="20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Company recorded self-insurance liability of approximately $500,000 as of June 30, 2019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Advertising expense includes costs of promotional materials and activities, such as marketing materials, marketing programs and speaker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costs of the Company’s advertising efforts are expensed as incurred.</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The Company incurred approximately $11.2 million and $21.2 million in advertising costs for the three and six month periods ended June 30, 2019, respectively, and approximately $11.1 million and $19.0 million in advertising costs for the three and six month periods ended 2018, respectively. These expenses are recorded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in the condensed consolidated statements of earnings.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ind w:right="380" w:firstLine="648"/>
        <w:spacing w:after="0" w:line="273"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and its related amendments (New Lease Standard). The New Lease Standard requires a lessee to recognize a right-of-use lease asset and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lease liability on the balance sheet. The Company adopted the New Lease Standard on January 1, 2019 using the modified retrospective method, which applies the provision of the New Lease Standard at the effective date without adjusting comparative periods presented. In addition, the Company elected the package of practical expedients permitted under the transition guidance within the New Lease Standard which, among other things, allowed the Company to carry forward the historical lease classification.</w:t>
      </w:r>
    </w:p>
    <w:p>
      <w:pPr>
        <w:spacing w:after="0" w:line="13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The adoption of the New Lease Standard resulted in the recognition of lease assets and lease liabilities for operating leases as of January 1, 2019 of approximately $4.0 million. Financial reporting for periods on or after January 1, 2019 are presented under the new guidance. Prior period amounts are not adjusted and continue to be reported in accordance with previous guidance. The standard did not materially impact the Company’s condensed consolidated net earnings and had no impact on cash flows (see Note 14,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which requires credit losses on financial assets measured on an amortized cost basis to be presented at the net amount expected to be collected, rather than based on incurred losses. Further, credit losses on available-for-sale debt securities should be recorded through an allowance for credit losses, limited to the amount by which fair value is below amortized cost. The new standard also requires enhanced disclosure of credit risk associated with respective assets. The standard is effective for fiscal years beginning after December 15, 2019, for interim and annual periods within those years, with early adoption permitted. The Company is currently assessing the impact of this new standard and does not expect the adoption of the guidance to have a material impact on its condensed consolidated financial statements.</w:t>
      </w:r>
    </w:p>
    <w:p>
      <w:pPr>
        <w:spacing w:after="0" w:line="12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arm's length market participants.</w:t>
      </w:r>
    </w:p>
    <w:p>
      <w:pPr>
        <w:spacing w:after="0" w:line="13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reports assets and liabilities measured at fair value using a three level fair value hierarchy that prioritizes the inputs used to measure fair value. The three levels of inputs used to measure fair value are as follows:</w:t>
      </w:r>
    </w:p>
    <w:p>
      <w:pPr>
        <w:spacing w:after="0" w:line="130" w:lineRule="exact"/>
        <w:rPr>
          <w:sz w:val="20"/>
          <w:szCs w:val="20"/>
          <w:color w:val="auto"/>
        </w:rPr>
      </w:pPr>
    </w:p>
    <w:p>
      <w:pPr>
        <w:ind w:left="980" w:right="7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as of the measurement date.</w:t>
      </w:r>
    </w:p>
    <w:p>
      <w:pPr>
        <w:spacing w:after="0" w:line="129"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(e.g., interest rates, yield curves, etc.); and inputs that are derived principally from or corroborated by observable market data by correlation or other means (i.e., market corroborated inputs).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1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center"/>
              <w:ind w:right="38"/>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tcPr>
          <w:p>
            <w:pPr>
              <w:jc w:val="center"/>
              <w:ind w:left="819"/>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Total Fair</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3"/>
                <w:szCs w:val="13"/>
                <w:color w:val="auto"/>
              </w:rPr>
            </w:pPr>
          </w:p>
        </w:tc>
        <w:tc>
          <w:tcPr>
            <w:tcW w:w="1080" w:type="dxa"/>
            <w:vAlign w:val="bottom"/>
          </w:tcPr>
          <w:p>
            <w:pPr>
              <w:jc w:val="center"/>
              <w:ind w:right="21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80" w:type="dxa"/>
            <w:vAlign w:val="bottom"/>
          </w:tcPr>
          <w:p>
            <w:pPr>
              <w:spacing w:after="0"/>
              <w:rPr>
                <w:sz w:val="12"/>
                <w:szCs w:val="12"/>
                <w:color w:val="auto"/>
              </w:rPr>
            </w:pPr>
          </w:p>
        </w:tc>
        <w:tc>
          <w:tcPr>
            <w:tcW w:w="10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80" w:type="dxa"/>
            <w:vAlign w:val="bottom"/>
          </w:tcPr>
          <w:p>
            <w:pPr>
              <w:spacing w:after="0"/>
              <w:rPr>
                <w:sz w:val="12"/>
                <w:szCs w:val="12"/>
                <w:color w:val="auto"/>
              </w:rPr>
            </w:pPr>
          </w:p>
        </w:tc>
        <w:tc>
          <w:tcPr>
            <w:tcW w:w="10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6"/>
                <w:szCs w:val="16"/>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87,344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87,344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171,222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170,975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558,755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558,301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34,999</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852,707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88,046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764,661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center"/>
              <w:ind w:right="38"/>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Total Fair</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3"/>
                <w:szCs w:val="13"/>
                <w:color w:val="auto"/>
              </w:rPr>
            </w:pPr>
          </w:p>
        </w:tc>
        <w:tc>
          <w:tcPr>
            <w:tcW w:w="1080" w:type="dxa"/>
            <w:vAlign w:val="bottom"/>
          </w:tcPr>
          <w:p>
            <w:pPr>
              <w:jc w:val="center"/>
              <w:ind w:right="21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80" w:type="dxa"/>
            <w:vAlign w:val="bottom"/>
          </w:tcPr>
          <w:p>
            <w:pPr>
              <w:spacing w:after="0"/>
              <w:rPr>
                <w:sz w:val="12"/>
                <w:szCs w:val="12"/>
                <w:color w:val="auto"/>
              </w:rPr>
            </w:pPr>
          </w:p>
        </w:tc>
        <w:tc>
          <w:tcPr>
            <w:tcW w:w="10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80" w:type="dxa"/>
            <w:vAlign w:val="bottom"/>
          </w:tcPr>
          <w:p>
            <w:pPr>
              <w:spacing w:after="0"/>
              <w:rPr>
                <w:sz w:val="12"/>
                <w:szCs w:val="12"/>
                <w:color w:val="auto"/>
              </w:rPr>
            </w:pPr>
          </w:p>
        </w:tc>
        <w:tc>
          <w:tcPr>
            <w:tcW w:w="10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6"/>
                <w:szCs w:val="16"/>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192,248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192,248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163,770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163,525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415,650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415,205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775,142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192,939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582,203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Level 1 assets include cash held at banks, certificates of deposit, money market funds, and investment grade corporate and government debt securities.</w:t>
      </w:r>
    </w:p>
    <w:p>
      <w:pPr>
        <w:spacing w:after="0" w:line="130"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 xml:space="preserve">Level 2 assets include the SERP (Supplemental Executive Retirement Plan) assets, commercial paper and investment grade corporate and U.S. government agency debt securities and other fixed income securities. Level 2 securities are valued using third-party pricing sources that apply applicable inputs and other relevant data in their models to estimate fair value. The fair 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condensed consolidated balance sheets.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 was recorded for level 3 assets as of June 30, 2019.</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liabilities that are not carried at fair value,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42"/>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4"/>
                <w:szCs w:val="14"/>
                <w:color w:val="auto"/>
              </w:rPr>
            </w:pPr>
          </w:p>
        </w:tc>
        <w:tc>
          <w:tcPr>
            <w:tcW w:w="10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337,210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392,689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329,462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375,834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based on actual trade information as well as quoted prices provided by bond traders.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available-for-sale marketable securities held by the Company are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U.S. government agency debt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Amortized 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757,206</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586,726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764,976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582,568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in thousands of dollars: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10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10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171,222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1 year to 2 years</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192,488</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 to 3 years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200,597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3 years to 4 years</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200,669</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4 years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764,976</w:t>
            </w:r>
          </w:p>
        </w:tc>
      </w:tr>
      <w:tr>
        <w:trPr>
          <w:trHeight w:val="27"/>
        </w:trPr>
        <w:tc>
          <w:tcPr>
            <w:tcW w:w="10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experienced any other-than-temporary losses on its marketable securities.</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5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13,544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26,024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25,659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380" w:type="dxa"/>
            <w:vAlign w:val="bottom"/>
            <w:vMerge w:val="restart"/>
          </w:tcPr>
          <w:p>
            <w:pPr>
              <w:jc w:val="right"/>
              <w:ind w:right="29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3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2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consists of the following,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64"/>
        </w:trPr>
        <w:tc>
          <w:tcPr>
            <w:tcW w:w="8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 and furniture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2,731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1,313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37"/>
        </w:trPr>
        <w:tc>
          <w:tcPr>
            <w:tcW w:w="8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15,314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4,095</w:t>
            </w:r>
          </w:p>
        </w:tc>
      </w:tr>
      <w:tr>
        <w:trPr>
          <w:trHeight w:val="27"/>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Depreciation and amortization expense on property and equipment was approximately $0.4 million and $0.7 million for the three and six month periods ended June 30, 2019, respectively, and approximately $0.5 million and $0.9 million for the three and six month periods ended June 30, 2018, respectively.</w:t>
      </w:r>
    </w:p>
    <w:p>
      <w:pPr>
        <w:spacing w:after="0" w:line="14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performs its annual impairment assessment in the fourth quarter, or earlier if impairment indicators exist. As of June 30, 2019, there were no identified indicators of impairment.</w:t>
      </w:r>
    </w:p>
    <w:p>
      <w:pPr>
        <w:spacing w:after="0" w:line="12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Intangible assets consist of patent defense costs, which are legal fees incurred in conjunction with defending patents for Oxtellar XR and Trokendi XR. The Company amortizes those costs over the useful life of the respective patents.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gross carrying amount and related accumulated amortization of the intangible assets,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7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6820" w:type="dxa"/>
            <w:vAlign w:val="bottom"/>
          </w:tcPr>
          <w:p>
            <w:pPr>
              <w:spacing w:after="0"/>
              <w:rPr>
                <w:sz w:val="16"/>
                <w:szCs w:val="16"/>
                <w:color w:val="auto"/>
              </w:rPr>
            </w:pPr>
          </w:p>
        </w:tc>
        <w:tc>
          <w:tcPr>
            <w:tcW w:w="1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2"/>
              </w:rPr>
              <w:t>Average Life</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patent defense costs</w:t>
            </w:r>
          </w:p>
        </w:tc>
        <w:tc>
          <w:tcPr>
            <w:tcW w:w="1700" w:type="dxa"/>
            <w:vAlign w:val="bottom"/>
            <w:tcBorders>
              <w:bottom w:val="single" w:sz="8" w:color="CCEEFF"/>
            </w:tcBorders>
            <w:shd w:val="clear" w:color="auto" w:fill="CCEEFF"/>
          </w:tcPr>
          <w:p>
            <w:pPr>
              <w:jc w:val="center"/>
              <w:ind w:right="22"/>
              <w:spacing w:after="0"/>
              <w:rPr>
                <w:sz w:val="20"/>
                <w:szCs w:val="20"/>
                <w:color w:val="auto"/>
              </w:rPr>
            </w:pPr>
            <w:r>
              <w:rPr>
                <w:rFonts w:ascii="Arial" w:cs="Arial" w:eastAsia="Arial" w:hAnsi="Arial"/>
                <w:sz w:val="18"/>
                <w:szCs w:val="18"/>
                <w:color w:val="auto"/>
                <w:w w:val="88"/>
              </w:rPr>
              <w:t>3.51 - 7.76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44,724</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(13,356)</w:t>
            </w:r>
          </w:p>
        </w:tc>
      </w:tr>
      <w:tr>
        <w:trPr>
          <w:trHeight w:val="27"/>
        </w:trPr>
        <w:tc>
          <w:tcPr>
            <w:tcW w:w="68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Amortization expense on intangible assets was approximately $1.3 million and $2.6 million for the three and six month periods ended June 30, 2019, respectively, essentially unchanged as compared to $1.3 million and $2.6 million for the three and six month periods ended June 30, 2018, respectively.</w:t>
      </w:r>
    </w:p>
    <w:p>
      <w:pPr>
        <w:spacing w:after="0" w:line="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performs its annual impairment assessment in the fourth quarter, or earlier, if impairment indicators exist. As of June 30, 2019, there were no identified indicators of impairment.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 of the following,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clinical trial and clinical supply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 liabilities and related accrued interest, current</w:t>
            </w: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product costs</w:t>
            </w: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38,614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36,535</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8.  Accrued Product Returns and Rebates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0" w:type="dxa"/>
            <w:vAlign w:val="bottom"/>
          </w:tcPr>
          <w:p>
            <w:pPr>
              <w:ind w:left="660"/>
              <w:spacing w:after="0"/>
              <w:rPr>
                <w:sz w:val="20"/>
                <w:szCs w:val="20"/>
                <w:color w:val="auto"/>
              </w:rPr>
            </w:pPr>
            <w:r>
              <w:rPr>
                <w:rFonts w:ascii="Arial" w:cs="Arial" w:eastAsia="Arial" w:hAnsi="Arial"/>
                <w:sz w:val="18"/>
                <w:szCs w:val="18"/>
                <w:color w:val="auto"/>
              </w:rPr>
              <w:t>Accrued product returns and rebates consist of the following, in thousands of dollars: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74,362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85,003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product returns</w:t>
            </w: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21,572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22,060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95,934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Senior Notes Due 2023</w:t>
      </w:r>
    </w:p>
    <w:p>
      <w:pPr>
        <w:spacing w:after="0" w:line="18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w:t>
      </w:r>
    </w:p>
    <w:p>
      <w:pPr>
        <w:spacing w:after="0" w:line="1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restrictions on the payment of dividends, the issuance of other indebtedness or the issuance or repurchase of securities by the Company.</w:t>
      </w:r>
    </w:p>
    <w:p>
      <w:pPr>
        <w:spacing w:after="0" w:line="14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4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0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pay cash to the Company in a similar amount as the value that the Company delivers to the holders of the 2023 Notes, based on a conversion price of $59.33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at the strike price through 2023. The strike price of the Warrant Transactions will initially be $80.9063 per share of the Company’s common stock, and is subject to adjustment.</w:t>
      </w:r>
    </w:p>
    <w:p>
      <w:pPr>
        <w:spacing w:after="0" w:line="14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Convertible Note Hedge Transactions are expected to generally reduce the potential dilution with respect to the Company’s common stock upon conversion of the 2023 Notes and/or offset any potential cash payments the Company is required to make in excess of the principal amount of converted 2023 Notes, as the case may be.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consists of the following,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the 2023 Notes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402,500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(76,434)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w w:val="98"/>
              </w:rPr>
              <w:t>19,596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carrying value</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337,210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329,462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No 2023 Notes were converted as of June 30, 2019.</w:t>
            </w: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tcPr>
          <w:p>
            <w:pPr>
              <w:spacing w:after="0"/>
              <w:rPr>
                <w:sz w:val="20"/>
                <w:szCs w:val="20"/>
                <w:color w:val="auto"/>
              </w:rPr>
            </w:pPr>
            <w:r>
              <w:rPr>
                <w:rFonts w:ascii="Arial" w:cs="Arial" w:eastAsia="Arial" w:hAnsi="Arial"/>
                <w:sz w:val="18"/>
                <w:szCs w:val="18"/>
                <w:b w:val="1"/>
                <w:bCs w:val="1"/>
                <w:color w:val="auto"/>
              </w:rPr>
              <w:t>10. Other Income (Expenses)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tcPr>
          <w:p>
            <w:pPr>
              <w:ind w:left="660"/>
              <w:spacing w:after="0"/>
              <w:rPr>
                <w:sz w:val="20"/>
                <w:szCs w:val="20"/>
                <w:color w:val="auto"/>
              </w:rPr>
            </w:pPr>
            <w:r>
              <w:rPr>
                <w:rFonts w:ascii="Arial" w:cs="Arial" w:eastAsia="Arial" w:hAnsi="Arial"/>
                <w:sz w:val="18"/>
                <w:szCs w:val="18"/>
                <w:color w:val="auto"/>
              </w:rPr>
              <w:t>Other income (expenses) consist of the following, in thousands of dollars: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5"/>
            <w:vMerge w:val="restart"/>
          </w:tcPr>
          <w:p>
            <w:pPr>
              <w:jc w:val="right"/>
              <w:ind w:right="108"/>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6"/>
          </w:tcPr>
          <w:p>
            <w:pPr>
              <w:jc w:val="center"/>
              <w:ind w:right="13"/>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3,664</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10,134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expense-nonrecourse liability related to sale of future royalties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115"/>
        </w:trPr>
        <w:tc>
          <w:tcPr>
            <w:tcW w:w="6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Interest expense includes non-cash interest expense related to amortization of deferred financing costs and debt discount in the amount of $3.9 million and $7.7 million for the three and six month periods ended June 30, 2019, respectively, and $3.7 million and $4.3 million respectively, for the three and six month periods ended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center"/>
              <w:ind w:right="33"/>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left="157"/>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right="573"/>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2019</w:t>
            </w:r>
          </w:p>
        </w:tc>
        <w:tc>
          <w:tcPr>
            <w:tcW w:w="11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4"/>
          </w:tcPr>
          <w:p>
            <w:pPr>
              <w:jc w:val="center"/>
              <w:ind w:left="177"/>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6"/>
          </w:tcPr>
          <w:p>
            <w:pPr>
              <w:jc w:val="center"/>
              <w:ind w:right="13"/>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Borders>
              <w:bottom w:val="single" w:sz="8" w:color="CCEEFF"/>
            </w:tcBorders>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2,534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3,068</w:t>
            </w:r>
          </w:p>
        </w:tc>
        <w:tc>
          <w:tcPr>
            <w:tcW w:w="340" w:type="dxa"/>
            <w:vAlign w:val="bottom"/>
            <w:tcBorders>
              <w:bottom w:val="single" w:sz="8" w:color="CCEEFF"/>
            </w:tcBorders>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following table summarizes stock options and SAR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3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7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6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5"/>
              </w:rPr>
              <w:t>Term (in years)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3,916,963</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Granted (unaudited)</w:t>
            </w:r>
          </w:p>
        </w:tc>
        <w:tc>
          <w:tcPr>
            <w:tcW w:w="36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840,435</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36.76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 (unaudited)</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(83,503)</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Forfeited (unaudited)</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(28,024)</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36.13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2019 (unaudited)</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4,645,871</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23.05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Vested and expected to vest</w:t>
            </w:r>
          </w:p>
        </w:tc>
        <w:tc>
          <w:tcPr>
            <w:tcW w:w="36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3,916,963</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19.98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1,889,947</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2019:</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Vested and expected to vest (unaudited)</w:t>
            </w:r>
          </w:p>
        </w:tc>
        <w:tc>
          <w:tcPr>
            <w:tcW w:w="36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4,645,871</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23.05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Exercisable (unaudited)</w:t>
            </w:r>
          </w:p>
        </w:tc>
        <w:tc>
          <w:tcPr>
            <w:tcW w:w="36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2,593,729</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15.48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stock appreciation rights (SAR), warrants, employee stock purchase plan (ESPP) awards and the 2023 Notes, as determined per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In connection with the issuance of the 2023 Notes, the Company entered into Convertible Note Hedge and Warrant transactions as described further in Note 9,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The collective impact of the Convertible Note Hedges and Warrants effectively eliminates any economic dilution that may occur from the actual conversion of the 2023 Notes between the conversion price of $59.33 per share and the strike price of the Warrants of $80.9063 per share.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Convertible Notes and Related Convertible Note Hedges and Warrants are excluded in the calculation of diluted EPS because their inclusion would be anti-dilutive. The denominator of the diluted earnings per share calculation excludes additional shares related to the 2023 Notes and Warrants since the average price of the Company's common stock was less than the conversion price of the 2023 Notes of $59.33 per share and the strike price of the Warrants of $80.9063 per share. Prior to actual conversion, the Convertible Note Hedges are not considered for purposes of the calculation of diluted earnings per share, as their effects would be anti-dilutive.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addition to the above described effect of the convertible notes and the related convertible note hedges and warrants, the Company also excluded the common stock equivalents for outstanding stock-based awards in the calculation of diluted EPS because their inclusion would be anti-dilutive: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Six Months ended</w:t>
            </w:r>
          </w:p>
        </w:tc>
      </w:tr>
      <w:tr>
        <w:trPr>
          <w:trHeight w:val="192"/>
        </w:trPr>
        <w:tc>
          <w:tcPr>
            <w:tcW w:w="6520" w:type="dxa"/>
            <w:vAlign w:val="bottom"/>
          </w:tcPr>
          <w:p>
            <w:pPr>
              <w:spacing w:after="0"/>
              <w:rPr>
                <w:sz w:val="16"/>
                <w:szCs w:val="16"/>
                <w:color w:val="auto"/>
              </w:rPr>
            </w:pPr>
          </w:p>
        </w:tc>
        <w:tc>
          <w:tcPr>
            <w:tcW w:w="1640" w:type="dxa"/>
            <w:vAlign w:val="bottom"/>
            <w:tcBorders>
              <w:bottom w:val="single" w:sz="8" w:color="auto"/>
            </w:tcBorders>
          </w:tcPr>
          <w:p>
            <w:pPr>
              <w:jc w:val="center"/>
              <w:ind w:left="72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ind w:left="70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4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640" w:type="dxa"/>
            <w:vAlign w:val="bottom"/>
          </w:tcPr>
          <w:p>
            <w:pPr>
              <w:jc w:val="center"/>
              <w:ind w:left="724"/>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center"/>
              <w:ind w:left="70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21"/>
                <w:szCs w:val="21"/>
                <w:color w:val="auto"/>
              </w:rPr>
            </w:pPr>
          </w:p>
        </w:tc>
      </w:tr>
      <w:tr>
        <w:trPr>
          <w:trHeight w:val="24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4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1,030,370</w:t>
            </w: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137,565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300,342</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184,760</w:t>
            </w:r>
          </w:p>
        </w:tc>
      </w:tr>
      <w:tr>
        <w:trPr>
          <w:trHeight w:val="27"/>
        </w:trPr>
        <w:tc>
          <w:tcPr>
            <w:tcW w:w="6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EPS for the three and six month periods ended June 30, 2019 and 2018, in thousands of dollars,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234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center"/>
              <w:ind w:left="71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234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in thousands: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earnings used for calculation of basic and 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32,727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30,737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51,067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5"/>
              </w:rPr>
              <w:t>52,385,590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51,919,894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52,361,149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51,729,243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potential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Stock options and SAR</w:t>
            </w:r>
          </w:p>
        </w:tc>
        <w:tc>
          <w:tcPr>
            <w:tcW w:w="1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1,527,387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2,283,414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1,586,685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2,292,698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5"/>
              </w:rPr>
              <w:t>53,912,977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54,203,308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53,947,834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54,021,941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provides information regarding the Company’s income tax expense and effective tax rate for the three and six month periods ended June 30, 2019 and 2018, including percent change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560" w:type="dxa"/>
            <w:vAlign w:val="bottom"/>
            <w:gridSpan w:val="3"/>
          </w:tcPr>
          <w:p>
            <w:pPr>
              <w:jc w:val="center"/>
              <w:ind w:right="216"/>
              <w:spacing w:after="0"/>
              <w:rPr>
                <w:sz w:val="20"/>
                <w:szCs w:val="20"/>
                <w:color w:val="auto"/>
              </w:rPr>
            </w:pPr>
            <w:r>
              <w:rPr>
                <w:rFonts w:ascii="Arial" w:cs="Arial" w:eastAsia="Arial" w:hAnsi="Arial"/>
                <w:sz w:val="14"/>
                <w:szCs w:val="14"/>
                <w:b w:val="1"/>
                <w:bCs w:val="1"/>
                <w:color w:val="auto"/>
                <w:w w:val="91"/>
              </w:rPr>
              <w:t>Six Months ended</w:t>
            </w:r>
          </w:p>
        </w:tc>
      </w:tr>
      <w:tr>
        <w:trPr>
          <w:trHeight w:val="192"/>
        </w:trPr>
        <w:tc>
          <w:tcPr>
            <w:tcW w:w="5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602"/>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642"/>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5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center"/>
              <w:ind w:left="622"/>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21"/>
                <w:szCs w:val="21"/>
                <w:color w:val="auto"/>
              </w:rPr>
            </w:pPr>
          </w:p>
        </w:tc>
      </w:tr>
      <w:tr>
        <w:trPr>
          <w:trHeight w:val="25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10,019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15,918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7,949</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23.40%</w:t>
            </w:r>
          </w:p>
        </w:tc>
        <w:tc>
          <w:tcPr>
            <w:tcW w:w="420" w:type="dxa"/>
            <w:vAlign w:val="bottom"/>
          </w:tcPr>
          <w:p>
            <w:pPr>
              <w:spacing w:after="0"/>
              <w:rPr>
                <w:sz w:val="21"/>
                <w:szCs w:val="21"/>
                <w:color w:val="auto"/>
              </w:rPr>
            </w:pPr>
          </w:p>
        </w:tc>
        <w:tc>
          <w:tcPr>
            <w:tcW w:w="1000" w:type="dxa"/>
            <w:vAlign w:val="bottom"/>
          </w:tcPr>
          <w:p>
            <w:pPr>
              <w:jc w:val="right"/>
              <w:ind w:right="356"/>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23.80%</w:t>
            </w:r>
          </w:p>
        </w:tc>
        <w:tc>
          <w:tcPr>
            <w:tcW w:w="400" w:type="dxa"/>
            <w:vAlign w:val="bottom"/>
          </w:tcPr>
          <w:p>
            <w:pPr>
              <w:spacing w:after="0"/>
              <w:rPr>
                <w:sz w:val="21"/>
                <w:szCs w:val="21"/>
                <w:color w:val="auto"/>
              </w:rPr>
            </w:pPr>
          </w:p>
        </w:tc>
        <w:tc>
          <w:tcPr>
            <w:tcW w:w="1020" w:type="dxa"/>
            <w:vAlign w:val="bottom"/>
          </w:tcPr>
          <w:p>
            <w:pPr>
              <w:jc w:val="right"/>
              <w:ind w:right="316"/>
              <w:spacing w:after="0"/>
              <w:rPr>
                <w:sz w:val="20"/>
                <w:szCs w:val="20"/>
                <w:color w:val="auto"/>
              </w:rPr>
            </w:pPr>
            <w:r>
              <w:rPr>
                <w:rFonts w:ascii="Arial" w:cs="Arial" w:eastAsia="Arial" w:hAnsi="Arial"/>
                <w:sz w:val="18"/>
                <w:szCs w:val="18"/>
                <w:color w:val="auto"/>
                <w:w w:val="98"/>
              </w:rPr>
              <w:t>12.20%</w:t>
            </w:r>
          </w:p>
        </w:tc>
      </w:tr>
    </w:tbl>
    <w:p>
      <w:pPr>
        <w:spacing w:after="0" w:line="200" w:lineRule="exact"/>
        <w:rPr>
          <w:sz w:val="20"/>
          <w:szCs w:val="20"/>
          <w:color w:val="auto"/>
        </w:rPr>
      </w:pPr>
    </w:p>
    <w:p>
      <w:pPr>
        <w:spacing w:after="0" w:line="20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increase in income tax expense and the increase in the effective tax rate for the three and six month periods ended June 30, 2019, as compared to the same periods in the prior year, was primarily attributable to the larger tax benefits realized in 2018 related to exercises of employee stock options.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determines if an arrangement is a lease at inception. Some leases include options to terminate or to extend for one or more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options are included in the lease term when it is reasonably certain that the option will be exercised.</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lease arrangements that contain lease components (e.g., minimum rent payments) and non-lease components (e.g., maintenance, labor charges, etc.). It accounts for these components as a single lease component. The Company’s lease agreements do not contain any material residual value guarantees or material restrictive covenants.</w:t>
      </w:r>
    </w:p>
    <w:p>
      <w:pPr>
        <w:spacing w:after="0" w:line="14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Operating leases are included in </w:t>
      </w:r>
      <w:r>
        <w:rPr>
          <w:rFonts w:ascii="Arial" w:cs="Arial" w:eastAsia="Arial" w:hAnsi="Arial"/>
          <w:sz w:val="18"/>
          <w:szCs w:val="18"/>
          <w:i w:val="1"/>
          <w:iCs w:val="1"/>
          <w:color w:val="auto"/>
        </w:rPr>
        <w:t>Lease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Lease liabilities, long term</w:t>
      </w:r>
      <w:r>
        <w:rPr>
          <w:rFonts w:ascii="Arial" w:cs="Arial" w:eastAsia="Arial" w:hAnsi="Arial"/>
          <w:sz w:val="18"/>
          <w:szCs w:val="18"/>
          <w:color w:val="auto"/>
        </w:rPr>
        <w:t xml:space="preserve"> on the condensed consolidated balance sheets. Leases with an initial term of 12 months or less are not recorded on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balance sheet. Operating lease assets and lease liabilities are recognized at the commencement date based on the present value of the future minimum lease payments over the lease term. The Company calculates the present value of future payments by using an incremental borrowing rate which approximates the rate at which the Company would borrow, on a secured basis and over a similar term. This rate is based on information available at commencement date of the lease and may differs for individual leases or for portfolios of leased assets. The Company recognizes lease expense for these leases on a straight-line basis over the lease term. Lease expense for operating leases is recognized as an operating cost.</w:t>
      </w:r>
    </w:p>
    <w:p>
      <w:pPr>
        <w:spacing w:after="0" w:line="13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has operating leases for its current headquarters office and lab space at 1550 East Gude Drive in Rockville, MD and for its fleet vehicles. The Company’s existing leases for its current headquarters office and lab space run through April 2020. Given the volume of individual leases involved in the overall arrangement, the Company applies a portfolio approach for the fleet vehicle leases to effectively account for the operating lease assets and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entered into a new lease agreement, effective January 31, 2019, with Advent Key West, LLC (Landlord), for its new headquarters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Rockville, MD (Premises). The term of the new headquarters lease commenced on February 1, 2019 (the Commencement Date) and will continue until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30, 2034, unless earlier terminated in accordance with the terms of the lease. The lease includes options to extend the lease for up to 10 years. Fixed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Premises begins on the Commencement Date; however, the Landlord agreed to a rent abatement from the Commencement Date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30, 2020. The initial fixed rental rate is approximately $195,000 per month for the first 12 months. The rate will automatically increase by 2% on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Commencement Date. Under the terms of the Lease, the Company provided a security deposit of approximately $195,000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to pay all utility charges for the Premises and its pro rata share of any operating expenses and real estate taxes. The Company will occupy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Premises upon completion of the build-out of the Premises.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lease also provides for a tenant improvement allowance of approximately $10.2 million, in aggregate. Any unspent tenant improvement allowance as of January 31, 2020 will be forfeited. The full amount of the tenant improvement allowance was initially recorded in </w:t>
      </w:r>
      <w:r>
        <w:rPr>
          <w:rFonts w:ascii="Arial" w:cs="Arial" w:eastAsia="Arial" w:hAnsi="Arial"/>
          <w:sz w:val="18"/>
          <w:szCs w:val="18"/>
          <w:i w:val="1"/>
          <w:iCs w:val="1"/>
          <w:color w:val="auto"/>
        </w:rPr>
        <w:t>Prepaid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assets </w:t>
      </w:r>
      <w:r>
        <w:rPr>
          <w:rFonts w:ascii="Arial" w:cs="Arial" w:eastAsia="Arial" w:hAnsi="Arial"/>
          <w:sz w:val="18"/>
          <w:szCs w:val="18"/>
          <w:color w:val="auto"/>
        </w:rPr>
        <w:t>in the condensed consolidated balance sheets.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assets, lease-related assets and lease liabilities are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38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38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3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b w:val="1"/>
                <w:bCs w:val="1"/>
                <w:color w:val="auto"/>
              </w:rPr>
              <w:t>Balance Sheet Classification</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300" w:type="dxa"/>
            <w:vAlign w:val="bottom"/>
          </w:tcPr>
          <w:p>
            <w:pPr>
              <w:ind w:left="1320"/>
              <w:spacing w:after="0"/>
              <w:rPr>
                <w:sz w:val="20"/>
                <w:szCs w:val="20"/>
                <w:color w:val="auto"/>
              </w:rPr>
            </w:pPr>
            <w:r>
              <w:rPr>
                <w:rFonts w:ascii="Arial" w:cs="Arial" w:eastAsia="Arial" w:hAnsi="Arial"/>
                <w:sz w:val="18"/>
                <w:szCs w:val="18"/>
                <w:color w:val="auto"/>
              </w:rPr>
              <w:t>Lease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19,639</w:t>
            </w:r>
          </w:p>
        </w:tc>
      </w:tr>
      <w:tr>
        <w:trPr>
          <w:trHeight w:val="27"/>
        </w:trPr>
        <w:tc>
          <w:tcPr>
            <w:tcW w:w="3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Tenant receivable</w:t>
            </w:r>
          </w:p>
        </w:tc>
        <w:tc>
          <w:tcPr>
            <w:tcW w:w="63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9,720</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Total lease and lease-related assets</w:t>
            </w:r>
          </w:p>
        </w:tc>
        <w:tc>
          <w:tcPr>
            <w:tcW w:w="6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29,359</w:t>
            </w:r>
          </w:p>
        </w:tc>
      </w:tr>
      <w:tr>
        <w:trPr>
          <w:trHeight w:val="67"/>
        </w:trPr>
        <w:tc>
          <w:tcPr>
            <w:tcW w:w="3860" w:type="dxa"/>
            <w:vAlign w:val="bottom"/>
            <w:tcBorders>
              <w:bottom w:val="single" w:sz="8" w:color="CCEEFF"/>
            </w:tcBorders>
          </w:tcPr>
          <w:p>
            <w:pPr>
              <w:spacing w:after="0"/>
              <w:rPr>
                <w:sz w:val="5"/>
                <w:szCs w:val="5"/>
                <w:color w:val="auto"/>
              </w:rPr>
            </w:pPr>
          </w:p>
        </w:tc>
        <w:tc>
          <w:tcPr>
            <w:tcW w:w="63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6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6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6300" w:type="dxa"/>
            <w:vAlign w:val="bottom"/>
          </w:tcPr>
          <w:p>
            <w:pPr>
              <w:ind w:left="13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3,357</w:t>
            </w:r>
          </w:p>
        </w:tc>
      </w:tr>
      <w:tr>
        <w:trPr>
          <w:trHeight w:val="27"/>
        </w:trPr>
        <w:tc>
          <w:tcPr>
            <w:tcW w:w="3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6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6300" w:type="dxa"/>
            <w:vAlign w:val="bottom"/>
          </w:tcPr>
          <w:p>
            <w:pPr>
              <w:ind w:left="1320"/>
              <w:spacing w:after="0"/>
              <w:rPr>
                <w:sz w:val="20"/>
                <w:szCs w:val="20"/>
                <w:color w:val="auto"/>
              </w:rPr>
            </w:pPr>
            <w:r>
              <w:rPr>
                <w:rFonts w:ascii="Arial" w:cs="Arial" w:eastAsia="Arial" w:hAnsi="Arial"/>
                <w:sz w:val="18"/>
                <w:szCs w:val="18"/>
                <w:color w:val="auto"/>
              </w:rPr>
              <w:t>Lease liabilities, long term</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27,535</w:t>
            </w:r>
          </w:p>
        </w:tc>
      </w:tr>
      <w:tr>
        <w:trPr>
          <w:trHeight w:val="27"/>
        </w:trPr>
        <w:tc>
          <w:tcPr>
            <w:tcW w:w="386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6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30,892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costs for the three and six month periods ended June 30, 2019 are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Six Months ended</w:t>
            </w:r>
          </w:p>
        </w:tc>
      </w:t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June 30,</w:t>
            </w:r>
          </w:p>
        </w:tc>
      </w:tr>
      <w:tr>
        <w:trPr>
          <w:trHeight w:val="250"/>
        </w:trPr>
        <w:tc>
          <w:tcPr>
            <w:tcW w:w="8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420" w:type="dxa"/>
            <w:vAlign w:val="bottom"/>
            <w:tcBorders>
              <w:bottom w:val="single" w:sz="8" w:color="auto"/>
            </w:tcBorders>
          </w:tcPr>
          <w:p>
            <w:pPr>
              <w:spacing w:after="0"/>
              <w:rPr>
                <w:sz w:val="21"/>
                <w:szCs w:val="21"/>
                <w:color w:val="auto"/>
              </w:rPr>
            </w:pPr>
          </w:p>
        </w:tc>
      </w:tr>
      <w:tr>
        <w:trPr>
          <w:trHeight w:val="250"/>
        </w:trPr>
        <w:tc>
          <w:tcPr>
            <w:tcW w:w="8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gridSpan w:val="4"/>
          </w:tcPr>
          <w:p>
            <w:pPr>
              <w:jc w:val="right"/>
              <w:ind w:right="1257"/>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 cost</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Fixed lease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2,019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983</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 operating leases cost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3,002</w:t>
            </w:r>
          </w:p>
        </w:tc>
      </w:tr>
      <w:tr>
        <w:trPr>
          <w:trHeight w:val="27"/>
        </w:trPr>
        <w:tc>
          <w:tcPr>
            <w:tcW w:w="8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9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871"/>
        </w:trPr>
        <w:tc>
          <w:tcPr>
            <w:tcW w:w="9800" w:type="dxa"/>
            <w:vAlign w:val="bottom"/>
            <w:gridSpan w:val="2"/>
          </w:tcPr>
          <w:p>
            <w:pPr>
              <w:ind w:left="660"/>
              <w:spacing w:after="0"/>
              <w:rPr>
                <w:sz w:val="20"/>
                <w:szCs w:val="20"/>
                <w:color w:val="auto"/>
              </w:rPr>
            </w:pPr>
            <w:r>
              <w:rPr>
                <w:rFonts w:ascii="Arial" w:cs="Arial" w:eastAsia="Arial" w:hAnsi="Arial"/>
                <w:sz w:val="18"/>
                <w:szCs w:val="18"/>
                <w:color w:val="auto"/>
                <w:w w:val="99"/>
              </w:rPr>
              <w:t>Weighted average lease term and discount rate for operating leases as of June 30, 2019 are as follows, unaudited:</w:t>
            </w:r>
          </w:p>
        </w:tc>
        <w:tc>
          <w:tcPr>
            <w:tcW w:w="162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13.35</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4.36%</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non-cancellable operating leases as of June 30, 2019 are as follows, in thousands of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2019 (remaining)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29,371</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41,879</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Less: Imputed interest </w:t>
            </w:r>
            <w:r>
              <w:rPr>
                <w:rFonts w:ascii="Arial" w:cs="Arial" w:eastAsia="Arial" w:hAnsi="Arial"/>
                <w:sz w:val="25"/>
                <w:szCs w:val="25"/>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30,892</w:t>
            </w:r>
          </w:p>
        </w:tc>
        <w:tc>
          <w:tcPr>
            <w:tcW w:w="0" w:type="dxa"/>
            <w:vAlign w:val="bottom"/>
          </w:tcPr>
          <w:p>
            <w:pPr>
              <w:spacing w:after="0"/>
              <w:rPr>
                <w:sz w:val="1"/>
                <w:szCs w:val="1"/>
                <w:color w:val="auto"/>
              </w:rPr>
            </w:pPr>
          </w:p>
        </w:tc>
      </w:tr>
      <w:tr>
        <w:trPr>
          <w:trHeight w:val="27"/>
        </w:trPr>
        <w:tc>
          <w:tcPr>
            <w:tcW w:w="10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w:t>
            </w: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6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10060" w:type="dxa"/>
            <w:vAlign w:val="bottom"/>
          </w:tcPr>
          <w:p>
            <w:pPr>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color w:val="auto"/>
              </w:rPr>
              <w:t xml:space="preserve"> Calculated using the interest rate for each lease.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Related to Periods Prior to Adoption of the New Lease Standard</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Rent expense for the leased facilities and leased vehicles for the years ended December 31, 2018, 2017 and 2016 was approximately $3.6 million, $2.7 million and $2.7 million,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as of December 31, 2018 are as follows,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3,400</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1,840</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Accounts Receivable</w:t>
      </w:r>
    </w:p>
    <w:p>
      <w:pPr>
        <w:spacing w:after="0" w:line="18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Company recorded an allowance of approximately $12.0 million and $11.5 million for expected sales discounts and allowances related to prompt pay discounts and fees in conjunction with contractual service arrangements with the Company’s customers, primarily pharmaceutical wholesalers/distributors, as of June 30, 2019 and December 31, 2018,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Disaggregated Revenues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disaggregation of revenues by nature,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94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78,964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76,474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142,657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147,029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20,556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39,121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net product sales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102,358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4"/>
              </w:rPr>
              <w:t>97,030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185,457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9"/>
              </w:rPr>
              <w:t>186,150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Licensing revenues</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104,695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99,538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190,169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189,967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08"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majority of the Company’s product sales are to pharmaceutical wholesalers/distributors who, in turn, sell the Company's products to chain and independent pharmacies, hospitals and other customers. Three pharmaceutical wholesalers/distributors collectively accounted for more than 90% of the Company’s total net product sales and accounts receivables as of and for the three and six month periods ended June 30, 2019 and 2018, respectively.</w:t>
      </w:r>
    </w:p>
    <w:p>
      <w:pPr>
        <w:spacing w:after="0" w:line="106"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Company recognized non-cash royalty revenue of $1.8 million and $3.4 million for the three and six month periods ended June 30, 2019, respectively. The Company recorded non-cash royalty revenue of $1.5 million and $2.8 million for the three and six month periods ended June 30, 2018, respectively.</w:t>
      </w:r>
    </w:p>
    <w:p>
      <w:pPr>
        <w:spacing w:after="0" w:line="14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milestone revenue was recorded for the three and six month periods ended June 30, 2019. The Company recorded $0.8 million in milestone revenue for both the three and six month periods ended June 30, 2018.</w:t>
      </w:r>
    </w:p>
    <w:p>
      <w:pPr>
        <w:spacing w:after="0" w:line="13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For the three and six month periods ended June 30, 2019, revenues recognized from performance obligations related to prior periods (e.g., due to changes in transaction price) were not material, in the aggregate, to either </w:t>
      </w:r>
      <w:r>
        <w:rPr>
          <w:rFonts w:ascii="Arial" w:cs="Arial" w:eastAsia="Arial" w:hAnsi="Arial"/>
          <w:sz w:val="18"/>
          <w:szCs w:val="18"/>
          <w:i w:val="1"/>
          <w:iCs w:val="1"/>
          <w:color w:val="auto"/>
        </w:rPr>
        <w:t>Net product sales</w:t>
      </w:r>
      <w:r>
        <w:rPr>
          <w:rFonts w:ascii="Arial" w:cs="Arial" w:eastAsia="Arial" w:hAnsi="Arial"/>
          <w:sz w:val="18"/>
          <w:szCs w:val="18"/>
          <w:color w:val="auto"/>
        </w:rPr>
        <w:t xml:space="preserve"> or </w:t>
      </w:r>
      <w:r>
        <w:rPr>
          <w:rFonts w:ascii="Arial" w:cs="Arial" w:eastAsia="Arial" w:hAnsi="Arial"/>
          <w:sz w:val="18"/>
          <w:szCs w:val="18"/>
          <w:i w:val="1"/>
          <w:iCs w:val="1"/>
          <w:color w:val="auto"/>
        </w:rPr>
        <w:t>Royalty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certain milestones. If these products are ultimately commercialized, the Company is also obligated to pay royalties to third parties, as percentage of net product sales, for each respective product under license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Company’s agreement with United Therapeutics related to the commercialization of Orenitram (treprostinil) Extended-Release Tablets. The Company will retain full ownership of the royalty rights if and when a certain cumulative payment threshold is reached, per the terms of the agreement. The Company recorded a non-recourse liability related to this transaction, and amortizes this amount as non-cash royalty revenue. The Company also recognizes non-cash interest expense related to this liability and accrues interest expense at an effective interest rate. The interest rate is determined based on projections of HC Royalty’s rate of return (see Notes 10 and 16).</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2018 and the related Management’s Discussion and Analysis of Financial Condition and Results of Operations, both of which are contained in our Annual Report on Form 10-K, filed with the Securities and Exchange Commission on March 1, 2019.</w:t>
      </w:r>
    </w:p>
    <w:p>
      <w:pPr>
        <w:spacing w:after="0" w:line="15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a pharmaceutical company focused on developing and commercializing products for the treatment of central nervous system (CNS) diseases in neurology and psychiatry.</w:t>
      </w:r>
    </w:p>
    <w:p>
      <w:pPr>
        <w:spacing w:after="0" w:line="13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market two products, Oxtellar XR and Trokendi XR, in the United States (U.S.). We market our products through our own sales force and seek strategic collaborations with other pharmaceutical companies to commercialize our products outside of the U.S. via license agreements.</w:t>
      </w:r>
    </w:p>
    <w:p>
      <w:pPr>
        <w:spacing w:after="0" w:line="10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we are developing multiple proprietary product candidates in the CNS market to address significant unmet medical needs and significant market opportunities.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2990850</wp:posOffset>
            </wp:positionV>
            <wp:extent cx="5179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9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5539740" cy="257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185" w:lineRule="exact"/>
        <w:rPr>
          <w:sz w:val="20"/>
          <w:szCs w:val="20"/>
          <w:color w:val="auto"/>
        </w:rPr>
      </w:pPr>
    </w:p>
    <w:p>
      <w:pPr>
        <w:ind w:left="66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Initial program is for Impulsive Aggression (IA) in patients with attention deficit hyperactivity disorder (ADHD), with plans to add other indications, such as IA in patients with autism, post traumatic stress disorder (PTSD), bipolar disorder, Alzheimer’s and other forms of dementia.</w:t>
      </w:r>
    </w:p>
    <w:p>
      <w:pPr>
        <w:spacing w:after="0" w:line="8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to incur significant expenses as we: invest in research and development related to the continued development of each of our product candidates through FDA approval or until the program terminates; expand product indications for approved products; invest in sales and marketing resources for existing and new products; enter into agreements to purchase products or other companies; and invest in support of our business, technology, regulatory and legal matters.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Neurology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neurology portfolio includes two commercial products and one product candidate for the treatment of neurological diseases.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Trokendi XR is a once-daily extended release topiramate product for the prophylaxis of migraine headache and for the treatment of epilepsy.</w:t>
      </w:r>
    </w:p>
    <w:p>
      <w:pPr>
        <w:spacing w:after="0" w:line="19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Oxtellar XR is a once-daily extended release oxcarbazepine product that was initially approved for the adjunctive treatment of partial onset seizures of epilepsy. During the first quarter of 2019, we launched Oxtellar XR for the recently approved monotherapy treatment of partial onset seizures of epilepsy in adults and in children 6 to 17 years of age.</w:t>
      </w:r>
    </w:p>
    <w:p>
      <w:pPr>
        <w:spacing w:after="0" w:line="14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These two commercial products differ from immediate release formulations by offering once-daily dosing and unique pharmacokinetic profiles, which we believe can have very positive clinical effects for many patients. We believe a once-daily dosing regimen improves adherence, making it more probable that patients maintain sufficient levels of medication in their bloodstreams to protect against seizures and migraines. In addition, we believe that the unique smooth and steady pharmacokinetic profiles of our once-daily formulations reduce the peak to trough blood level fluctuations, which are typically associated with immediate release products and which may result in increased adverse events (AEs) and more side effects and decreased efficacy.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the number of prescriptions filled for Oxtellar XR and Trokendi XR to continue to increase through 2019 and in subsequent years.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our prescriptions during the periods indicated, including percentage changes in volume: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2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Volume</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102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40" w:type="dxa"/>
            <w:vAlign w:val="bottom"/>
            <w:gridSpan w:val="3"/>
          </w:tcPr>
          <w:p>
            <w:pPr>
              <w:ind w:left="280"/>
              <w:spacing w:after="0"/>
              <w:rPr>
                <w:sz w:val="20"/>
                <w:szCs w:val="20"/>
                <w:color w:val="auto"/>
              </w:rPr>
            </w:pPr>
            <w:r>
              <w:rPr>
                <w:rFonts w:ascii="Arial" w:cs="Arial" w:eastAsia="Arial" w:hAnsi="Arial"/>
                <w:sz w:val="14"/>
                <w:szCs w:val="14"/>
                <w:b w:val="1"/>
                <w:bCs w:val="1"/>
                <w:color w:val="auto"/>
              </w:rPr>
              <w:t>Volume</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Prescriptions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168,682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w w:val="95"/>
              </w:rPr>
              <w:t>158,568</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center"/>
              <w:ind w:right="94"/>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329,622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303,563</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26,059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4"/>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40,384</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36,066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4"/>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78,964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70,782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 prescriptions</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209,066</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5"/>
              </w:rPr>
              <w:t>194,634</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14,432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center"/>
              <w:ind w:right="94"/>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408,586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5"/>
              </w:rPr>
              <w:t>374,345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34,241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34"/>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Source: IQVIA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SPN-817 will utilize a novel synthetic form of huperzine A, whose mechanism of action (MOA) includes potent acetyl cholinesterase inhibition with pharmacological activities in CNS conditions such as epilepsy.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Development Program</w:t>
      </w:r>
    </w:p>
    <w:p>
      <w:pPr>
        <w:spacing w:after="0" w:line="18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plan on studying SPN-817 initially in severe pediatric epilepsy disorders. A Phase I proof-of-concept trial is currently underway outside the U.S. in adult patients with refractory complex partial seizures to study the efficacy, safety and pharmacokinetic profile of a new extended release formulation of non-synthetic huperzine A. We are completing and optimizing the synthesis process for manufacturing huperzine A and developing a novel dosage form prior to conducting additional clinical trials. Given the potency of huperzine A, a novel extended release oral dosage form is critical to the success of this program because initial studies with the immediate release formulations of nonsynthetic huperzine A have shown dose-limiting, serious side effects.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Psychiatry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psychiatry portfolio includes four product candidates for the treatment of psychiatric disorders.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(extended release viloxazine hydrochloride)</w:t>
      </w:r>
    </w:p>
    <w:p>
      <w:pPr>
        <w:spacing w:after="0" w:line="18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Viloxazine, the active ingredient in SPN-812 is a structurally distinct, bicyclic, serotonin norepinephrine modulating agent (SNMA) with New Chemical Entity (NCE) status in the U.S. We are developing SPN-812 as a novel treatment for ADHD in pediatric and adolescent patients. We believe that SPN-812 could be a better alternative than other non-stimulant and stimulant therapies due to its unique pharmacological and pharmacokinetic profile. Viloxazine has an extensive safety record in Europe, where it was previously marketed for many years as an antidepressant.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Development Program</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Phase III program consisted of four three-arm, placebo-controlled trials: P301 and P303 trials in patients 6 to 11 years old and P302 and P304 trials in patients 12 to 17 years old. The Phase III program for SPN-812 is complete. In December 2018, we announced positive topline results from the pediatric trials (P301 and P303) and the first adolescent trial (P302). In March 2019, we announced topline results from the second adolescent trial (P304), confirming the positive results seen in the three previous Phase III trials. In addition, we expect to initiate a Phase III program in adults in the fourth quarter of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Patients completing the Phase III trials were permitted to continue treatment under our open label extension trial. That trial is on-going and is expected to continue through 2020.</w:t>
      </w:r>
    </w:p>
    <w:p>
      <w:pPr>
        <w:spacing w:after="0" w:line="130"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The Company continues to focus on compiling the New Drug Application (NDA) for SPN-812 for submission to the U.S. Food and Drug Administration (FDA) in the second half of 2019. We expect to launch SPN-812, assuming FDA approval, in the second half of 2020.</w:t>
      </w:r>
    </w:p>
    <w:p>
      <w:pPr>
        <w:spacing w:after="0" w:line="10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Further, we are continuing to develop and expand our intellectual property (IP) portfolio covering the novel synthesis process for the active ingredient in SPN-812, its novel use in treatment of ADHD, and its novel extended release delivery.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 (molindone hydrochloride)</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are developing SPN-810 as a novel treatment for IA in patients who have ADHD, with the potential to be the first product available to address this serious, unmet medical need. Molindone hydrochloride was previously marketed in the U.S. for the treatment of schizophrenia under the trade name Moban at much higher strengths and different dosage forms than we are using in our development program. If we are successful in developing SPN-810 as a novel treatment for IA in patients who have ADHD, we may then develop the product as a candidate for treating other indications; e.g., patients with IA in autism; PTSD; bipolar disorder; Alzheimer’s; and other forms of dementia.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 Development Program</w:t>
      </w:r>
    </w:p>
    <w:p>
      <w:pPr>
        <w:spacing w:after="0" w:line="18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Phase III program consists of two clinical studies in patients 6 to 11 years old (P301 and P302) and one in patients 12 to 17 years old (P503). Data from the first Phase III trial (P301) are expected to be announced in the fourth quarter of 2019 and data from the second trial (P302) in the first quarter of 2020. We expect patient enrollment in the adolescent trial (P503) to continue through 2020.</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to submit the NDA for SPN-810 in the second half of 2020, and to launch it, assuming FDA approval, in the second half of 2021.</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completing the Phase III trials can continue treatment under our open label extension trial. Enrollment from the P301 and P302 trials into the open label extension trial continues at 90% or higher. On average, a patient in the open label extension study stays on SPN-810 for approximately 10 months, which we believe is an encouraging sign of both tolerability and efficacy.</w:t>
      </w:r>
    </w:p>
    <w:p>
      <w:pPr>
        <w:spacing w:after="0" w:line="14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continue to develop and expand our IP portfolio covering the novel synthesis process for the active ingredient in SPN-810, its novel use in IA, and its novel extended release delivery.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SPN-809 (viloxazine hydrochloride)</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SPN-809 is a novel once-daily product candidate for the treatment of depression. SPN-809 incorporates the same active ingredient as SPN-812, viloxazine hydrochloride.</w:t>
      </w:r>
    </w:p>
    <w:p>
      <w:pPr>
        <w:spacing w:after="0" w:line="13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Because SPN-809 contains the same active ingredient as SPN-812, we expect that many of our activities related to the development of SPN-812 will also benefit the development of SPN-809.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SPN-604 (extended release oxcarbazepine for treatment of bipolar disorder)</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continue to progress our plans to initiate pivotal Phase III studies for the treatment of bipolar disorder in the fourth quarter of 2019. If approved, this would represent the first approval for treatment of bipolar patients with oxcarbazepine in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have nine U.S. patents that cover Trokendi XR. We own all of the issued patents and pending patent applications. We have one patent issued each in Mexico, Australia, Japan and Canada for extended release topiramate, and two patents issued in Europe. The nine issued U.S. patents covering Trokendi XR will expire no earlier than 2027. The Company has entered into settlement agreements with third parties permitting sale of a generic version of Trokendi XR on January 1, 2023, or earlier under certain circumstances.</w:t>
      </w:r>
    </w:p>
    <w:p>
      <w:pPr>
        <w:spacing w:after="0" w:line="14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extended release oxcarbazepine patent portfolio currently includes twelve U.S. patents, nine of which cover Oxtellar XR. The nine issued U.S. patents covering Oxtellar XR will expire no earlier than 2027. We own all of the issued patents and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pending patent applications. We have two issued patents for extended release oxcarbazepine in both Europe and Australia, and one patent issued in Canada, Japan, China and Mexico. In addition, we have a pending U.S. patent application that covers various extended release formulations containing oxcarbazepine.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patent portfolio also contains patent applications relating to our pipeline products.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continue to build our intellectual property portfolio to provide additional protection for our technologies, measurement scales, products and product candidates.</w:t>
      </w:r>
    </w:p>
    <w:p>
      <w:pPr>
        <w:spacing w:after="0" w:line="13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To protect our competitive position, it may be necessary to enforce our patent rights through litigation against infringing third parties. See Part II, Item 1—</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significant accounting policies and bases of presentation for our condensed consolidated financial statements are described in Part I, Item 1, Financial Statements,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Condensed Consolidated Financial Statements. Our condensed consolidated financial statements are prepared in accordance with U.S. generally accepted accounting principles (U.S. GAAP), requiring us to make estimates and assumptions that affect the reported amounts of assets, liabilities, revenues, and expenses, and to disclose material contingent assets and liabilities. Actual results could differ materially from our estimates.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Revenue from product sales is recognized when physical control of our products is transferred to our customers, who are pharmaceutical wholesalers and distributors. Product sales are recorded net of various forms of variable consideration, including: estimated rebates; sales discounts; and an estimated liability for future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Arial" w:cs="Arial" w:eastAsia="Arial" w:hAnsi="Arial"/>
          <w:sz w:val="16"/>
          <w:szCs w:val="16"/>
          <w:i w:val="1"/>
          <w:iCs w:val="1"/>
          <w:color w:val="auto"/>
        </w:rPr>
        <w:t>Revenue from Product Sales,</w:t>
      </w:r>
      <w:r>
        <w:rPr>
          <w:rFonts w:ascii="Arial" w:cs="Arial" w:eastAsia="Arial" w:hAnsi="Arial"/>
          <w:sz w:val="16"/>
          <w:szCs w:val="16"/>
          <w:color w:val="auto"/>
        </w:rPr>
        <w:t xml:space="preserve"> in the Notes to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Clinical Expenses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Research and development expenditures are expensed as incurred, and consist of: employee-related expenses, including salaries and benefits; share-based compensation expense; expenses incurred under agreements with clinical research organizations (CROs); fees paid to investigators for treating patients in the context of participating in our clinical trials; consultants and other vendors that assist in the conduct of the Company’s clinical trials; the cost of acquiring and manufacturing clinical trial materials, including materials used in process validation (i.e., to the extent that those materials are manufactured prior to receiving regulatory approval for those products and are not expected to be sold commercially); cost of facilities where those facilities do not have an alternative future use; related depreciation and other allocated expenses; license fees for and milestone payments related to in-licensed products and technologies; and costs associated with animal testing activities and regulatory approvals. Assets acquired that are used for research and development and that have no future alternative use are expensed as in-process research and development.</w:t>
      </w:r>
    </w:p>
    <w:p>
      <w:pPr>
        <w:spacing w:after="0" w:line="13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Clinical trials are inherently complex and often involve multiple service providers. Because billing for services often lags by a month or more, we are often required to estimate, and therefore accrue, a significant portion of our clinical expenses. This process involves reviewing open contracts and communicating with our subject matter expert personnel as well as the appropriate service provider personnel to identify services that have been performed on our behalf but for which no invoice has been received. We accrue the cost for unbilled services performed, both partially and fully completed.</w:t>
      </w:r>
    </w:p>
    <w:p>
      <w:pPr>
        <w:spacing w:after="0" w:line="11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achievement of performance driven milestones. When accruing clinical trial expenses, we estimate the time period over which services will be performed during the life of the entire clinical program, the total cost of the program, and the level of effort to be expended in each intervening period. We work with each service provider to obtain an estimate for incurred but unbilled services as of the end of the calendar quarter, including estimates for payments to site investigators.</w:t>
      </w:r>
    </w:p>
    <w:p>
      <w:pPr>
        <w:spacing w:after="0" w:line="13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work diligently to minimize, if not eliminate, estimates based solely on company generated calculations. If we and/or the service provider underestimates or overestimates the cost associated with a trial or service at any given point in time,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adjustments to research and development expenses may be necessary in the following periods. Historically, our estimated accrued clinical expenses have closely approximated the actual expenses incurred.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 periods ended June 30,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Revenues consist of net product sales of Trokendi XR and Oxtellar XR in the U.S., and royalty and licensing revenues from our collaborative licensing arrangements.</w:t>
      </w:r>
    </w:p>
    <w:p>
      <w:pPr>
        <w:spacing w:after="0" w:line="13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provides information regarding our revenues during the periods indicated, including percentage changes (dollar amount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22"/>
                <w:szCs w:val="22"/>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78,964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76,474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73"/>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142,657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147,029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right="93"/>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88"/>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42,800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net product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102,358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97,030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ind w:right="73"/>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185,457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186,150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3"/>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88"/>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88"/>
              </w:rPr>
              <w:t>54%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Licensing revenues</w:t>
            </w:r>
          </w:p>
        </w:tc>
        <w:tc>
          <w:tcPr>
            <w:tcW w:w="2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53"/>
              <w:spacing w:after="0"/>
              <w:rPr>
                <w:sz w:val="20"/>
                <w:szCs w:val="20"/>
                <w:color w:val="auto"/>
              </w:rPr>
            </w:pPr>
            <w:r>
              <w:rPr>
                <w:rFonts w:ascii="Arial" w:cs="Arial" w:eastAsia="Arial" w:hAnsi="Arial"/>
                <w:sz w:val="18"/>
                <w:szCs w:val="18"/>
                <w:color w:val="auto"/>
                <w:w w:val="92"/>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right="73"/>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104,695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190,169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189,967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Net product sales are computed as gross revenue from our product shipments to pharmaceutical wholesalers and distributors, less estimates for rebates, product returns and sales discounts.</w:t>
      </w:r>
    </w:p>
    <w:p>
      <w:pPr>
        <w:spacing w:after="0" w:line="13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the fourth quarter of 2018, wholesalers, distributors and pharmacies increased their inventory holdings, when compared to the prevailing inventory levels in the third quarter of 2018. We estimated that this caused net product sales to be approximately $10 million higher in the fourth quarter of 2018 than it would have been, had channel inventory levels remained consistent from the third to the fourth quarter of 2018.</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channel inventory build-up in the fourth quarter of 2018 was effectively reversed in the first quarter of 2019. Specifically, based on analysis of sales and inventory data, inventory levels at wholesalers, distributors and pharmacies returned to the prevailing levels of the third quarter of 2018. As a result, both gross sales and net product sales decreased in the first half of 2019, as compared to the prior year. The adverse impact on net product sales in the first half of 2019 due to the reduction in channel inventory is estimated at approximately $10 million.</w:t>
      </w:r>
    </w:p>
    <w:p>
      <w:pPr>
        <w:spacing w:after="0" w:line="146"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aggregate, net product sales for the three and six month periods ended June 30, 2019 were favorably impacted by 7% prescription growth and the net impact of an 8% price increase. These favorable impacts were offset by the $10 million impact of the reduction in channel inventory as described above, and adverse changes in net sales deductions. (Refer to sales deductions and related accruals discussion in this section).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Trokendi XR</w:t>
      </w:r>
    </w:p>
    <w:p>
      <w:pPr>
        <w:spacing w:after="0" w:line="18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Trokendi XR net product sales increased by $2.5 million for the three month period ended June 30, 2019 as compared to the same period in 2018. The increase in net product sales for Trokendi XR was primarily due to growth in prescription volume and the net impact of an 8% price increase, offset by changes in net product sales deductions, which resulted from increased utilization of the co-pay program.</w:t>
      </w:r>
    </w:p>
    <w:p>
      <w:pPr>
        <w:spacing w:after="0" w:line="14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Trokendi XR net product sales decreased by $4.4 million for the six months ended June 30, 2019 as compared to the same period in 2018. The primary driver for the decrease was the aforementioned channel inventory reduction, which was partially offset by growth in prescription volume and the impact of the price increase taken in January 2019.</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Oxtellar XR</w:t>
      </w:r>
    </w:p>
    <w:p>
      <w:pPr>
        <w:spacing w:after="0" w:line="1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Oxtellar XR net product sales increased by $2.8 million for the three month period ended June 30, 2019 as compared to the same period in 2018. The increase was attributable to growth in prescription volume and the impact of the price increase taken in January, offset by changes in net product sales deductions, which resulted from increased utilization of the co-pay program.</w:t>
      </w:r>
    </w:p>
    <w:p>
      <w:pPr>
        <w:spacing w:after="0" w:line="14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Oxtellar XR net product sales increased by $3.7 million for the six months ended June 30, 2019 as compared to the same period in 2018. The increase was primarily due to growth in prescription volume and the impact of the price increase taken in January, offset by changes in net product sales deductions, which resulted from increased utilization of the co-pay program.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 and related accruals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 Company records accrued rebates and accrued product returns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as current liabilities and records sales discounts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The outstanding amounts of accrued product returns, rebates and allowance for sales discounts as of the respective balance sheet dates are generally affected by the changes in level of gross sales, provision for net product sales deductions and timing of payments/credits.</w:t>
      </w:r>
    </w:p>
    <w:p>
      <w:pPr>
        <w:spacing w:after="0" w:line="14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provides a summary of activities with respect to sales deductions and related accruals for the six months ended June 30, 2019 and 2018, respectively, in thousands of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Accrued 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Rebates</w:t>
            </w:r>
          </w:p>
        </w:tc>
        <w:tc>
          <w:tcPr>
            <w:tcW w:w="280" w:type="dxa"/>
            <w:vAlign w:val="bottom"/>
          </w:tcPr>
          <w:p>
            <w:pPr>
              <w:spacing w:after="0"/>
              <w:rPr>
                <w:sz w:val="13"/>
                <w:szCs w:val="13"/>
                <w:color w:val="auto"/>
              </w:rPr>
            </w:pPr>
          </w:p>
        </w:tc>
        <w:tc>
          <w:tcPr>
            <w:tcW w:w="10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Sales Discounts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118,611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Provision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sales in 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170,838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Adjustments relating to prior year sales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169,177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Actual payments/credits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(179,895)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107,893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Accrued Liabilities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Rebates</w:t>
            </w:r>
          </w:p>
        </w:tc>
        <w:tc>
          <w:tcPr>
            <w:tcW w:w="280" w:type="dxa"/>
            <w:vAlign w:val="bottom"/>
          </w:tcPr>
          <w:p>
            <w:pPr>
              <w:spacing w:after="0"/>
              <w:rPr>
                <w:sz w:val="13"/>
                <w:szCs w:val="13"/>
                <w:color w:val="auto"/>
              </w:rPr>
            </w:pPr>
          </w:p>
        </w:tc>
        <w:tc>
          <w:tcPr>
            <w:tcW w:w="10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Sales Discounts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77,235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Provision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sales in 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140,551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Adjustments relating to prior year sales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138,723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Actual payments/credits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(4,506)</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(136,690)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79,268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Overall, the total provision for sales deductions on gross product sales increased by $30.5 million, or 22%, from $138.7 million to $169.2 million, for the six months ended June 30, 2019 and 2018, respectively. Virtually all of this increase is attributable to the year over year increase in the provision for product rebates, of $30.9 million, or 29%.</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Year over year increase in the provision for product rebates is primarily attributable to greater utilization of our patient co-pay program. Expansion of this program is attributable, in part, to the continued growth in high deductible health care plans. Growth in prescriptions, and the impact of the 8% price increase taken in January, contributed to the secular increase in product rebates.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Partially offsetting these factors is the effect of the aforementioned reduction in inventory levels at the wholesaler, distributor and pharmacy levels, which effectively reduced rebates.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the provision for product returns, approximately $0.9 million, is due primarily to a favorable actual returns experience.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Provision for allowance for sales discounts marginally increased by $0.5 million, from $26.9 million to $27.4 million for the six months ended June 30, 2018 and 2019, respectively. The increase is directly attributable to the prescription volume growth.</w:t>
      </w:r>
    </w:p>
    <w:p>
      <w:pPr>
        <w:spacing w:after="0" w:line="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Adjustments related to prior year sales due to changes in our estimates had a de minimis impact on net product sales for the six months ended June 30, 2019 and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Revenues</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Royalty revenues include royalty from net product sales of Mydayis, a product of Shire Plc (now a subsidiary of Takeda Pharmaceuticals Company Ltd.), as well as non-cash royalty revenue pursuant to our agreement with Healthcare Royalty Partners III, L.P. (HC Royalty). HC Royalty receives royalty payments from United Therapeutics Corporation (United Therapeutics) based on net product sales of United Therapeutics product Orenitram and the Company records non-cash royalty revenue based on such product sales.</w:t>
      </w:r>
    </w:p>
    <w:p>
      <w:pPr>
        <w:spacing w:after="0" w:line="14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Royalty revenues increased by $579,000, or 33% in the three months ended June 30, 2019, compared to the same period in 2018, and increased by $1.6 million, or 54% in the six months ended June 30, 2019, compared to the same period in 2018. On both periods, the increase was primarily due to increased sales of Mydayis and Orenitram. Of the total royalty revenues, non-cash royalty revenue for the three and six month periods ended June 30, 2019 was $1.8 million and $3.4 million, respectively, and for the three and six month periods ended June 30, 2018 was $1.5 million and $2.8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regarding our cost of product sales during the periods indicated, including percent changes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Six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78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4,044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3,683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7,728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6,961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767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Cost of product sales during the three month period ended June 30, 2019 was $4.0 million, slightly higher than the $3.7 million for the same period in 2018. Cost of product sales during the six months ended June 30, 2019 was $7.7 million compared to $7.0 million for the same period in 2018. The increase in both periods is primarily attributable to higher unit volume.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information regarding our research and development expenses (R&amp;D) during the periods indicated, including percent changes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Six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960" w:type="dxa"/>
            <w:vAlign w:val="bottom"/>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   16,970</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4"/>
              </w:rPr>
              <w:t>$ 20,038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32,364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38,946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R&amp;D expenses decreased by $3.1 million in the three month period ended June 30, 2019 as compared to the same period in 2018. R&amp;D expenses decreased by $6.6 million in the six months ended June 30, 2019 as compared to the same period in 2018. The decrease in both periods is primarily driven by the completion of the four Phase III clinical trials for SPN-812 in late 2018/early 2019, partially offset by cost to manufacture SPN-812 to support our upcoming NDA filing.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information regarding our selling, general and administrative expenses (SG&amp;A) during the periods indicated, including percent changes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30,219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31,421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4"/>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$ 60,968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$ 59,015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center"/>
              <w:ind w:right="134"/>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10,864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114"/>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21,083</w:t>
            </w: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17,931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114"/>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41,083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40,097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2"/>
              </w:rPr>
              <w:t>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$ 82,051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$ 76,946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right="134"/>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decreased by $1.2 million in the three month period ended June 30,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2018. The decrease is primarily due to decreased sample production.</w:t>
      </w:r>
    </w:p>
    <w:p>
      <w:pPr>
        <w:spacing w:after="0" w:line="13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Selling and marketing expenses increased by $2.0 million in the six months ended June 30, 2019 as compared to the same period in 2018. This increase is due to increased promotional and marketing programs, speaker programs and consulting services to support our commercial products, particularly the migraine indication for Trokendi XR and the monotherapy indication for partial seizures for Oxtellar XR.</w:t>
      </w:r>
    </w:p>
    <w:p>
      <w:pPr>
        <w:spacing w:after="0" w:line="141"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$2.2 million in the three month period ended June 30, 2019 and by</w:t>
      </w:r>
      <w:r>
        <w:rPr>
          <w:rFonts w:ascii="Arial" w:cs="Arial" w:eastAsia="Arial" w:hAnsi="Arial"/>
          <w:sz w:val="16"/>
          <w:szCs w:val="16"/>
          <w:i w:val="1"/>
          <w:iCs w:val="1"/>
          <w:color w:val="auto"/>
        </w:rPr>
        <w:t xml:space="preserve"> </w:t>
      </w:r>
      <w:r>
        <w:rPr>
          <w:rFonts w:ascii="Arial" w:cs="Arial" w:eastAsia="Arial" w:hAnsi="Arial"/>
          <w:sz w:val="16"/>
          <w:szCs w:val="16"/>
          <w:color w:val="auto"/>
        </w:rPr>
        <w:t>$3.2 million in the six months ended June 30, 2019, as compared to the same periods in 2018, respectively. The increase in both periods is primarily due to increased employee-related expenses, including share-based compensation, professional and consulting fees, facilities cost and insurance.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(Expenses)</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provides the components of other income (expenses) during the periods indicated, including percent changes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Dollar</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Dollar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1"/>
              </w:rPr>
              <w:t>108%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center"/>
              <w:ind w:right="174"/>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Interest expense-nonrecourse liability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to sale of future royalties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center"/>
              <w:ind w:right="174"/>
              <w:spacing w:after="0"/>
              <w:rPr>
                <w:sz w:val="20"/>
                <w:szCs w:val="20"/>
                <w:color w:val="auto"/>
              </w:rPr>
            </w:pPr>
            <w:r>
              <w:rPr>
                <w:rFonts w:ascii="Arial" w:cs="Arial" w:eastAsia="Arial" w:hAnsi="Arial"/>
                <w:sz w:val="18"/>
                <w:szCs w:val="18"/>
                <w:color w:val="auto"/>
                <w:w w:val="95"/>
              </w:rPr>
              <w:t>(50)%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Interest income increased by $1.8 million in the three month period ended June 30, 2019 and increased by $5.3 million in the six months ended June 30, 2019 as compared to the same periods in 2018, respectively. The increase in both periods was primarily attributable to an increase in cash, cash equivalents and marketable security holdings resulting from the issuance of $402.5 million of 0.625% Convertible Senior Notes, due 2023 (2023 Notes) in March 2018.</w:t>
      </w:r>
    </w:p>
    <w:p>
      <w:pPr>
        <w:spacing w:after="0" w:line="14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expense for the three month period ended June 30, 2019 essentially remained unchanged compared to the same period in 2018. Interest expense increased by $3.8 million in the six months ended June 30, 2019 as compared to the same period in 2018, due to non-cash interest expense related to the amortization of deferred financing costs and debt discount on the 2023 Notes.</w:t>
      </w:r>
    </w:p>
    <w:p>
      <w:pPr>
        <w:spacing w:after="0" w:line="14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Non-cash interest expense related to our non-recourse royalty liability slightly decreased for both the three and six month periods ended June 30, 2019 as compared to the same periods in 2018, primarily due to changes in the projected future royalties on sales of Orenitram.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provides information regarding our income tax expense during the periods indicated, including percent changes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Six Months ended</w:t>
            </w:r>
          </w:p>
        </w:tc>
        <w:tc>
          <w:tcPr>
            <w:tcW w:w="800" w:type="dxa"/>
            <w:vAlign w:val="bottom"/>
          </w:tcPr>
          <w:p>
            <w:pPr>
              <w:spacing w:after="0"/>
              <w:rPr>
                <w:sz w:val="14"/>
                <w:szCs w:val="14"/>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ind w:left="70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w w:val="95"/>
              </w:rPr>
              <w:t>Dollar</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5"/>
              </w:rPr>
              <w:t>Dollar</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$10,019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6"/>
              <w:spacing w:after="0"/>
              <w:rPr>
                <w:sz w:val="20"/>
                <w:szCs w:val="20"/>
                <w:color w:val="auto"/>
              </w:rPr>
            </w:pPr>
            <w:r>
              <w:rPr>
                <w:rFonts w:ascii="Arial" w:cs="Arial" w:eastAsia="Arial" w:hAnsi="Arial"/>
                <w:sz w:val="18"/>
                <w:szCs w:val="18"/>
                <w:color w:val="auto"/>
                <w:w w:val="90"/>
              </w:rPr>
              <w:t>$3,119</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221.2%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61"/>
              <w:spacing w:after="0"/>
              <w:rPr>
                <w:sz w:val="20"/>
                <w:szCs w:val="20"/>
                <w:color w:val="auto"/>
              </w:rPr>
            </w:pPr>
            <w:r>
              <w:rPr>
                <w:rFonts w:ascii="Arial" w:cs="Arial" w:eastAsia="Arial" w:hAnsi="Arial"/>
                <w:sz w:val="18"/>
                <w:szCs w:val="18"/>
                <w:color w:val="auto"/>
                <w:w w:val="89"/>
              </w:rPr>
              <w:t>$15,918</w:t>
            </w:r>
          </w:p>
        </w:tc>
        <w:tc>
          <w:tcPr>
            <w:tcW w:w="800" w:type="dxa"/>
            <w:vAlign w:val="bottom"/>
            <w:tcBorders>
              <w:bottom w:val="single" w:sz="8" w:color="CCEEFF"/>
            </w:tcBorders>
            <w:shd w:val="clear" w:color="auto" w:fill="CCEEFF"/>
          </w:tcPr>
          <w:p>
            <w:pPr>
              <w:jc w:val="center"/>
              <w:ind w:right="156"/>
              <w:spacing w:after="0"/>
              <w:rPr>
                <w:sz w:val="20"/>
                <w:szCs w:val="20"/>
                <w:color w:val="auto"/>
              </w:rPr>
            </w:pPr>
            <w:r>
              <w:rPr>
                <w:rFonts w:ascii="Arial" w:cs="Arial" w:eastAsia="Arial" w:hAnsi="Arial"/>
                <w:sz w:val="18"/>
                <w:szCs w:val="18"/>
                <w:color w:val="auto"/>
                <w:w w:val="87"/>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6"/>
              <w:spacing w:after="0"/>
              <w:rPr>
                <w:sz w:val="20"/>
                <w:szCs w:val="20"/>
                <w:color w:val="auto"/>
              </w:rPr>
            </w:pPr>
            <w:r>
              <w:rPr>
                <w:rFonts w:ascii="Arial" w:cs="Arial" w:eastAsia="Arial" w:hAnsi="Arial"/>
                <w:sz w:val="18"/>
                <w:szCs w:val="18"/>
                <w:color w:val="auto"/>
                <w:w w:val="92"/>
              </w:rPr>
              <w:t>9.2%</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261"/>
              <w:spacing w:after="0"/>
              <w:rPr>
                <w:sz w:val="20"/>
                <w:szCs w:val="20"/>
                <w:color w:val="auto"/>
              </w:rPr>
            </w:pPr>
            <w:r>
              <w:rPr>
                <w:rFonts w:ascii="Arial" w:cs="Arial" w:eastAsia="Arial" w:hAnsi="Arial"/>
                <w:sz w:val="18"/>
                <w:szCs w:val="18"/>
                <w:color w:val="auto"/>
                <w:w w:val="90"/>
              </w:rPr>
              <w:t>23.8%</w:t>
            </w:r>
          </w:p>
        </w:tc>
        <w:tc>
          <w:tcPr>
            <w:tcW w:w="800" w:type="dxa"/>
            <w:vAlign w:val="bottom"/>
          </w:tcPr>
          <w:p>
            <w:pPr>
              <w:jc w:val="center"/>
              <w:ind w:right="156"/>
              <w:spacing w:after="0"/>
              <w:rPr>
                <w:sz w:val="20"/>
                <w:szCs w:val="20"/>
                <w:color w:val="auto"/>
              </w:rPr>
            </w:pPr>
            <w:r>
              <w:rPr>
                <w:rFonts w:ascii="Arial" w:cs="Arial" w:eastAsia="Arial" w:hAnsi="Arial"/>
                <w:sz w:val="18"/>
                <w:szCs w:val="18"/>
                <w:color w:val="auto"/>
                <w:w w:val="93"/>
              </w:rPr>
              <w:t>12.2%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increase in income tax expense and in the effective tax rate for the three and six month periods ended June 30, 2019 compared to the same period in 2018 is primarily attributable to higher tax benefits realized in 2018 related to the exercise of employee stock options.</w:t>
      </w:r>
    </w:p>
    <w:p>
      <w:pPr>
        <w:spacing w:after="0" w:line="10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recorded income tax benefits related to the exercise of employee stock options of approximately $0.1 million and $0.4 million for the three and six month periods ended June 30, 2019, respectively, as compared to $4.4 million and $6.4 million for the three and six month periods ended June 30, 2018,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have financed our operations primarily with cash generated from product sales, supplemented by proceeds from the sale of equity and debt securities and royalty and licensing arrangements. We are highly dependent on the commercial success of our two commercial products, Trokendi XR and Oxtellar XR.</w:t>
      </w:r>
    </w:p>
    <w:p>
      <w:pPr>
        <w:spacing w:after="0" w:line="14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were cash flow positive and were profitable from operations in the six months ended June 30, 2019. While we expect continued profitability for the current year and in subsequent years, we anticipate there may be significant variability from quarter to quarter in our profitability.</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believe our existing cash and cash equivalents, marketable securities and cash received from product sales will be sufficient to finance ongoing operations and to finance development of our new products and label expansions for existing products. To continue to grow our business over the long-term, we plan to commit substantial resources to: product acquisition; product in-licensing; product development and clinical trials of product candidates; and supportive functions such as compliance, finance, management of our intellectual property portfolio, information technology systems and personnel. In each case, spending commensurate with the growth of the business.</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may, from time to time, consider additional funding through a combination of new collaborative arrangements, strategic alliances, additional equity and debt financings, or financing from other sources, especially in conjunction with opportunistic acquisitions or licensing arrangements. We will continue to actively manage our capital structure and to consider all financing opportunities that could strengthen our long-term liquidity profile. Any such capital structure may or may not be similar to transactions in which we have engaged in the past. There can be no assurances that any such financing opportunities will be available on acceptable terms, if at all.</w:t>
      </w:r>
    </w:p>
    <w:p>
      <w:pPr>
        <w:spacing w:after="0" w:line="161" w:lineRule="exact"/>
        <w:rPr>
          <w:sz w:val="20"/>
          <w:szCs w:val="20"/>
          <w:color w:val="auto"/>
        </w:rPr>
      </w:pPr>
    </w:p>
    <w:p>
      <w:pPr>
        <w:ind w:right="60" w:firstLine="648"/>
        <w:spacing w:after="0" w:line="313" w:lineRule="auto"/>
        <w:rPr>
          <w:sz w:val="20"/>
          <w:szCs w:val="20"/>
          <w:color w:val="auto"/>
        </w:rPr>
      </w:pPr>
      <w:r>
        <w:rPr>
          <w:rFonts w:ascii="Arial" w:cs="Arial" w:eastAsia="Arial" w:hAnsi="Arial"/>
          <w:sz w:val="16"/>
          <w:szCs w:val="16"/>
          <w:color w:val="auto"/>
        </w:rPr>
        <w:t xml:space="preserve">Our working capital at June 30, 2019 was $246.9 million, a decrease of $85.2 million compared to $332.1 million at December 31, 2018. The decrease was primarily due to the increase in investment in long term marketable securities of approximately $175.0 million in the six months ended June 30, 2019. </w:t>
      </w:r>
      <w:r>
        <w:rPr>
          <w:rFonts w:ascii="Arial" w:cs="Arial" w:eastAsia="Arial" w:hAnsi="Arial"/>
          <w:sz w:val="17"/>
          <w:szCs w:val="17"/>
          <w:color w:val="auto"/>
        </w:rPr>
        <w:t>A</w:t>
      </w:r>
      <w:r>
        <w:rPr>
          <w:rFonts w:ascii="Arial" w:cs="Arial" w:eastAsia="Arial" w:hAnsi="Arial"/>
          <w:sz w:val="16"/>
          <w:szCs w:val="16"/>
          <w:color w:val="auto"/>
        </w:rPr>
        <w:t>s of June 30, 2019, the Company had $852.3 million cash and cash equivalents, marketable securities, and long term marketable securities, compared to $774.8 million at December 31, 2018. This increase primarily reflects cash generated from operations in the first six months of 2019.</w:t>
      </w:r>
    </w:p>
    <w:p>
      <w:pPr>
        <w:spacing w:after="0" w:line="106"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Our stockholders’ equity increased by $69.9 million during the six months ended June 30, 2019, primarily as a result of net earnings of $51.1 million, unrealized gains on marketable securities of $9.1 million, coupled with option exercises and share-based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Dollar</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97"/>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Operating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69,335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67,481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1,854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26,137</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61,680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33,689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27,991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304,140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374,359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(371,936)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(104,904)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(65,099)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(39,805)</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changes in working capital. The increase in net cash provided by operating activities is primarily driven by a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over period increase in operating earnings and favorable cash flows from working capital as a result of cash collections on receivables as described below.</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certain operating assets and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9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Explanation of Change</w:t>
            </w: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18,439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Timing of collections; decreased receivables in 2019 because of</w:t>
            </w: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sequential decline in prescription volume coupled with channel</w:t>
            </w:r>
          </w:p>
        </w:tc>
      </w:tr>
      <w:tr>
        <w:trPr>
          <w:trHeight w:val="230"/>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inventory reduction in first quarter 2019.</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 inventory to support increased product demand.</w:t>
            </w: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0"/>
              </w:rPr>
              <w:t>Prepaid expenses, other current assets and other</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Timing differences related to deposits for equipment purchase;</w:t>
            </w: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prepaid clinical trial costs.</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1"/>
              </w:rPr>
              <w:t>Accounts payable and accrued other non-current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Timing of vendor payments.</w:t>
            </w: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Increased provision directly related to growth in prescriptions;</w:t>
            </w: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growth in Medicaid rebates due to taking price increases in 2019,</w:t>
            </w: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higher utilization of patient co-pay assistance; timing of rebate</w:t>
            </w:r>
          </w:p>
        </w:tc>
      </w:tr>
      <w:tr>
        <w:trPr>
          <w:trHeight w:val="237"/>
        </w:trPr>
        <w:tc>
          <w:tcPr>
            <w:tcW w:w="3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(15,938)</w:t>
            </w:r>
          </w:p>
        </w:tc>
        <w:tc>
          <w:tcPr>
            <w:tcW w:w="1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Timing of income tax payments.</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Timing of compensation payments.</w:t>
            </w:r>
          </w:p>
        </w:tc>
      </w:tr>
      <w:tr>
        <w:trPr>
          <w:trHeight w:val="237"/>
        </w:trPr>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(33,792)</w:t>
            </w: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Net cash used in investing activities decreased by $304.1 million for the six months ended June 30, 2019, as compared to the same period 2018, primarily due to net purchases of marketable securities, representing the investment of excess cash in long term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Net cash provided by financing activities decreased to $2.4 million for the six months ended June 30, 2019 versus $374.4 million provided in the same period in 2018, primarily related to issuance of the 2023 Notes and the related convertible note hedges and warrants in March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Refer to the “Contractual Obligations and Commitments” section in “Part II, Item 7 — Management’s Discussion and Analysis of Liquidity and Capital Resources” of our Annual Report on Form 10-K for the year ended December 31, 2018, for a discussion of our contractual obligations.</w:t>
      </w:r>
    </w:p>
    <w:p>
      <w:pPr>
        <w:spacing w:after="0" w:line="106"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In addition, during the first quarter of 2019, we entered into a new lease agreement with Advent Key West, LLC for our new headquarters in Rockville, MD. Refer to Note 14 in the Notes to Condensed Consolidated Financial Statements in Part I, Item 1 of this Quarterly Report on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do not engage in trading activities involving non-exchange traded contracts.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On January 1, 2019, we adopted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or ASC 842. For a discussion of new accounting pronouncements, see Note 2 in the Notes to the Condensed Consolidated Financial Statements in Part I, Item 1 of this Quarterly Report on Form 10-Q.</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240" w:top="125" w:right="6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or liquidity risk by investing in investment grade securities, with maturities of four years or less. Our exposure to market risk is confined to investments in cash, cash equivalents, marketable securities and long term marketable securities. As of June 30, 2019, we had unrestricted cash, cash equivalents, marketable securities and long term marketable securities of $852.3 million.</w:t>
      </w:r>
    </w:p>
    <w:p>
      <w:pPr>
        <w:spacing w:after="0" w:line="1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 We do not engage in any hedging activities against changes in interest rates. Because of the short-term maturities of our cash, cash equivalents, marketable securities and long term marketable securities, and because we generally hold these securities to maturity, we do not believe that an increase in interest rates would have any significant impact on the realizable value of our investments. We do not have any currency or other derivative financial instruments other than the outstanding warrants to purchase common stock and the convertible note hedges.</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may contract with CROs and investigational sites globally. Currently, we have one ongoing trial, for SPN-817, outside the U.S. We do not hedge our foreign currency exchange rate risk. Transactions denominated in currencies other than the U.S. dollar are recorded based on exchange rates at the time such transactions arise. As of June 30, 2019 and December 31, 2018, substantially all of our liabilities were denominated in the U.S. dollar.</w:t>
      </w:r>
    </w:p>
    <w:p>
      <w:pPr>
        <w:spacing w:after="0" w:line="10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Inflation generally affects us by increasing our cost of labor and the cost of services provided by our vendors. We do not believe that inflation and changing prices over the three and six month periods ended June 30, 2019 and 2018 had a significant impact on our condensed consolidated results of operations.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June 30, 2019, the end of the period covered by this report. Based on that evaluation, under the supervision and with the participation of our management, including our CEO and CFO, we concluded that our disclosure controls and procedures were effective as of June 30,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2019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From time to time and in the ordinary course of business, we may be subject to various claims, charges and litigation. We may be required to file infringement claims against third parties for the infringement of our patents. As of June 30, 2019, the Company has no outstanding litigation.</w:t>
      </w:r>
    </w:p>
    <w:p>
      <w:pPr>
        <w:spacing w:after="0" w:line="1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2018. These risks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 in material harm to our business and our financial condition and results of operations. If a material, adverse event were to occur, the market price of our common stock may decline and you could lose part or all of your investment.</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18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During the three month period ended June 30, 2019, the Company granted options to employees and directors to purchase an aggregate of 8,600 shares of common stock at a weighted-average exercise price of $37.78 per share. Once vested, the options are exercisable for a period of ten years from the grant date. These issuances are exempt from registration in reliance on Section 4(a)(2) of the Securities Act as transactions not involving a public offering.</w:t>
      </w:r>
    </w:p>
    <w:p>
      <w:pPr>
        <w:spacing w:after="0" w:line="1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1080" w:type="dxa"/>
            <w:vAlign w:val="bottom"/>
            <w:gridSpan w:val="2"/>
          </w:tcPr>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tc>
      </w:tr>
      <w:tr>
        <w:trPr>
          <w:trHeight w:val="378"/>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31.1</w:t>
            </w:r>
          </w:p>
        </w:tc>
        <w:tc>
          <w:tcPr>
            <w:tcW w:w="1044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567"/>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31.2</w:t>
            </w:r>
          </w:p>
        </w:tc>
        <w:tc>
          <w:tcPr>
            <w:tcW w:w="1044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553"/>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32.1</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0"/>
        </w:trPr>
        <w:tc>
          <w:tcPr>
            <w:tcW w:w="6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of 2002.</w:t>
            </w:r>
          </w:p>
        </w:tc>
      </w:tr>
      <w:tr>
        <w:trPr>
          <w:trHeight w:val="553"/>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32.2</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6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of 2002.</w:t>
            </w:r>
          </w:p>
        </w:tc>
      </w:tr>
    </w:tbl>
    <w:p>
      <w:pPr>
        <w:spacing w:after="0" w:line="337" w:lineRule="exact"/>
        <w:rPr>
          <w:sz w:val="20"/>
          <w:szCs w:val="20"/>
          <w:color w:val="auto"/>
        </w:rPr>
      </w:pPr>
    </w:p>
    <w:p>
      <w:pPr>
        <w:ind w:left="1040" w:right="60" w:hanging="1005"/>
        <w:spacing w:after="0" w:line="25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June 30, 2019,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40" w:right="300" w:hanging="100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cover page of our Quarterly Report on Form 10-Q for the quarter ended June 30, 2019, formatted in Inline XBRL (included with the Exhibit 101 attachments).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60" w:type="dxa"/>
            <w:vAlign w:val="bottom"/>
            <w:gridSpan w:val="6"/>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60" w:type="dxa"/>
            <w:vAlign w:val="bottom"/>
            <w:tcBorders>
              <w:top w:val="single" w:sz="8" w:color="auto"/>
            </w:tcBorders>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Executive Officer pursuant to Rule 13a-14(a).</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51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4"/>
        </w:trPr>
        <w:tc>
          <w:tcPr>
            <w:tcW w:w="360" w:type="dxa"/>
            <w:vAlign w:val="bottom"/>
            <w:gridSpan w:val="2"/>
          </w:tcPr>
          <w:p>
            <w:pPr>
              <w:ind w:left="4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Financial Officer pursuant to Rule 13a-14(a).</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4"/>
        </w:trPr>
        <w:tc>
          <w:tcPr>
            <w:tcW w:w="360" w:type="dxa"/>
            <w:vAlign w:val="bottom"/>
            <w:gridSpan w:val="2"/>
          </w:tcPr>
          <w:p>
            <w:pPr>
              <w:ind w:left="4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Certification of Chief Executive Officer pursuant to 18 U.S.C. Section 1350, as adopted pursuant to Section 906 of the Sarbanes-Oxley Act</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of 2002.</w:t>
              </w:r>
            </w:hyperlink>
          </w:p>
        </w:tc>
        <w:tc>
          <w:tcPr>
            <w:tcW w:w="12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534"/>
        </w:trPr>
        <w:tc>
          <w:tcPr>
            <w:tcW w:w="360" w:type="dxa"/>
            <w:vAlign w:val="bottom"/>
            <w:gridSpan w:val="2"/>
          </w:tcPr>
          <w:p>
            <w:pPr>
              <w:ind w:left="4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Chief Financial Officer pursuant to 18 U.S.C. Section 1350, as adopted pursuant to Section 906 of the Sarbanes-Oxley Act</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of 2002.</w:t>
              </w:r>
            </w:hyperlink>
          </w:p>
        </w:tc>
        <w:tc>
          <w:tcPr>
            <w:tcW w:w="16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1040" w:right="60" w:hanging="1005"/>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June 30, 2019,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40" w:right="300" w:hanging="100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of our Quarterly Report on Form 10-Q for the quarter ended June 30, 2019, formatted in Inline XBRL (included with the Exhibit 101 attachments).</w:t>
      </w:r>
    </w:p>
    <w:p>
      <w:pPr>
        <w:sectPr>
          <w:pgSz w:w="11900" w:h="16838" w:orient="portrait"/>
          <w:cols w:equalWidth="0" w:num="1">
            <w:col w:w="11200"/>
          </w:cols>
          <w:pgMar w:left="240" w:top="125" w:right="4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00"/>
          </w:cols>
          <w:pgMar w:left="240" w:top="125" w:right="4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SUPERNUS PHARMACEUTICALS, INC.</w:t>
      </w:r>
    </w:p>
    <w:p>
      <w:pPr>
        <w:spacing w:after="0" w:line="360" w:lineRule="exact"/>
        <w:rPr>
          <w:sz w:val="20"/>
          <w:szCs w:val="20"/>
          <w:color w:val="auto"/>
        </w:rPr>
      </w:pPr>
    </w:p>
    <w:p>
      <w:pPr>
        <w:ind w:left="40"/>
        <w:spacing w:after="0"/>
        <w:tabs>
          <w:tab w:leader="none" w:pos="5720" w:val="left"/>
          <w:tab w:leader="none" w:pos="6280" w:val="left"/>
        </w:tabs>
        <w:rPr>
          <w:sz w:val="20"/>
          <w:szCs w:val="20"/>
          <w:color w:val="auto"/>
        </w:rPr>
      </w:pPr>
      <w:r>
        <w:rPr>
          <w:rFonts w:ascii="Arial" w:cs="Arial" w:eastAsia="Arial" w:hAnsi="Arial"/>
          <w:sz w:val="18"/>
          <w:szCs w:val="18"/>
          <w:color w:val="auto"/>
        </w:rPr>
        <w:t>DATED: 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Secretary and Chief Executive Officer</w:t>
      </w:r>
    </w:p>
    <w:p>
      <w:pPr>
        <w:spacing w:after="0" w:line="346" w:lineRule="exact"/>
        <w:rPr>
          <w:sz w:val="20"/>
          <w:szCs w:val="20"/>
          <w:color w:val="auto"/>
        </w:rPr>
      </w:pPr>
    </w:p>
    <w:p>
      <w:pPr>
        <w:ind w:left="40"/>
        <w:spacing w:after="0"/>
        <w:tabs>
          <w:tab w:leader="none" w:pos="5720" w:val="left"/>
          <w:tab w:leader="none" w:pos="6280" w:val="left"/>
        </w:tabs>
        <w:rPr>
          <w:sz w:val="20"/>
          <w:szCs w:val="20"/>
          <w:color w:val="auto"/>
        </w:rPr>
      </w:pPr>
      <w:r>
        <w:rPr>
          <w:rFonts w:ascii="Arial" w:cs="Arial" w:eastAsia="Arial" w:hAnsi="Arial"/>
          <w:sz w:val="18"/>
          <w:szCs w:val="18"/>
          <w:color w:val="auto"/>
        </w:rPr>
        <w:t>DATED: 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125"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84" w:lineRule="exact"/>
        <w:rPr>
          <w:rFonts w:ascii="Arial" w:cs="Arial" w:eastAsia="Arial" w:hAnsi="Arial"/>
          <w:sz w:val="16"/>
          <w:szCs w:val="16"/>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660" w:right="260" w:hanging="652"/>
        <w:spacing w:after="0" w:line="308"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5"/>
          <w:szCs w:val="15"/>
          <w:color w:val="auto"/>
        </w:rPr>
      </w:pPr>
    </w:p>
    <w:p>
      <w:pPr>
        <w:ind w:left="660" w:right="280" w:hanging="652"/>
        <w:spacing w:after="0" w:line="26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300" w:right="220" w:hanging="644"/>
        <w:spacing w:after="0" w:line="26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6"/>
          <w:szCs w:val="16"/>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4"/>
          <w:szCs w:val="14"/>
          <w:color w:val="auto"/>
        </w:rPr>
      </w:pPr>
    </w:p>
    <w:p>
      <w:pPr>
        <w:ind w:left="1300" w:right="80" w:hanging="644"/>
        <w:spacing w:after="0" w:line="26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6"/>
          <w:szCs w:val="16"/>
          <w:color w:val="auto"/>
        </w:rPr>
      </w:pPr>
    </w:p>
    <w:p>
      <w:pPr>
        <w:ind w:left="660" w:right="180" w:hanging="652"/>
        <w:spacing w:after="0" w:line="308"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5"/>
          <w:szCs w:val="15"/>
          <w:color w:val="auto"/>
        </w:rPr>
      </w:pPr>
    </w:p>
    <w:p>
      <w:pPr>
        <w:ind w:left="1300" w:right="6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tabs>
          <w:tab w:leader="none" w:pos="4820" w:val="left"/>
          <w:tab w:leader="none" w:pos="5200" w:val="left"/>
        </w:tabs>
        <w:rPr>
          <w:sz w:val="20"/>
          <w:szCs w:val="20"/>
          <w:color w:val="auto"/>
        </w:rPr>
      </w:pPr>
      <w:r>
        <w:rPr>
          <w:rFonts w:ascii="Arial" w:cs="Arial" w:eastAsia="Arial" w:hAnsi="Arial"/>
          <w:sz w:val="16"/>
          <w:szCs w:val="16"/>
          <w:color w:val="auto"/>
        </w:rPr>
        <w:t>Date: August 9,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34925</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6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420"/>
          </w:cols>
          <w:pgMar w:left="240" w:top="76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Gregory S. Patrick, certify that:</w:t>
      </w:r>
    </w:p>
    <w:p>
      <w:pPr>
        <w:spacing w:after="0" w:line="17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84" w:lineRule="exact"/>
        <w:rPr>
          <w:rFonts w:ascii="Arial" w:cs="Arial" w:eastAsia="Arial" w:hAnsi="Arial"/>
          <w:sz w:val="16"/>
          <w:szCs w:val="16"/>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660" w:right="260" w:hanging="652"/>
        <w:spacing w:after="0" w:line="308"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5"/>
          <w:szCs w:val="15"/>
          <w:color w:val="auto"/>
        </w:rPr>
      </w:pPr>
    </w:p>
    <w:p>
      <w:pPr>
        <w:ind w:left="660" w:right="280" w:hanging="652"/>
        <w:spacing w:after="0" w:line="26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5"/>
          <w:szCs w:val="15"/>
          <w:color w:val="auto"/>
        </w:rPr>
      </w:pPr>
    </w:p>
    <w:p>
      <w:pPr>
        <w:ind w:left="1300" w:right="68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6"/>
          <w:szCs w:val="16"/>
          <w:color w:val="auto"/>
        </w:rPr>
        <w:t>Date: August 9, 2019</w:t>
      </w:r>
      <w:r>
        <w:rPr>
          <w:sz w:val="20"/>
          <w:szCs w:val="20"/>
          <w:color w:val="auto"/>
        </w:rPr>
        <w:tab/>
      </w:r>
      <w:r>
        <w:rPr>
          <w:rFonts w:ascii="Arial" w:cs="Arial" w:eastAsia="Arial" w:hAnsi="Arial"/>
          <w:sz w:val="15"/>
          <w:szCs w:val="15"/>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34925</wp:posOffset>
            </wp:positionV>
            <wp:extent cx="2718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Gregory S. Patrick</w:t>
      </w:r>
    </w:p>
    <w:p>
      <w:pPr>
        <w:spacing w:after="0" w:line="8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June 30, 2019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4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6"/>
          <w:szCs w:val="16"/>
          <w:color w:val="auto"/>
        </w:rPr>
        <w:t>Date: August 9, 2019</w:t>
      </w:r>
      <w:r>
        <w:rPr>
          <w:sz w:val="20"/>
          <w:szCs w:val="20"/>
          <w:color w:val="auto"/>
        </w:rPr>
        <w:tab/>
      </w:r>
      <w:r>
        <w:rPr>
          <w:rFonts w:ascii="Arial" w:cs="Arial" w:eastAsia="Arial" w:hAnsi="Arial"/>
          <w:sz w:val="15"/>
          <w:szCs w:val="15"/>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34925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420"/>
          </w:cols>
          <w:pgMar w:left="240" w:top="76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June 30, 2019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4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6"/>
          <w:szCs w:val="16"/>
          <w:color w:val="auto"/>
        </w:rPr>
        <w:t>Date: August 9, 2019</w:t>
      </w:r>
      <w:r>
        <w:rPr>
          <w:sz w:val="20"/>
          <w:szCs w:val="20"/>
          <w:color w:val="auto"/>
        </w:rPr>
        <w:tab/>
      </w:r>
      <w:r>
        <w:rPr>
          <w:rFonts w:ascii="Arial" w:cs="Arial" w:eastAsia="Arial" w:hAnsi="Arial"/>
          <w:sz w:val="15"/>
          <w:szCs w:val="15"/>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34925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Gregory S. Patrick</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Senior Vice President and Chief Financial Officer</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01"/>
    </w:lvl>
  </w:abstractNum>
  <w:abstractNum w:abstractNumId="17">
    <w:nsid w:val="628C895D"/>
    <w:multiLevelType w:val="hybridMultilevel"/>
    <w:lvl w:ilvl="0">
      <w:lvlJc w:val="left"/>
      <w:lvlText w:val="%1"/>
      <w:numFmt w:val="decimal"/>
      <w:start w:val="104"/>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2019-12-28T07:13:31Z</dcterms:created>
  <dcterms:modified xsi:type="dcterms:W3CDTF">2019-12-28T07:13:31Z</dcterms:modified>
</cp:coreProperties>
</file>