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July 22,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Supernus Pharmaceuticals,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7"/>
        <w:gridCol w:w="1561"/>
        <w:gridCol w:w="1577"/>
        <w:gridCol w:w="381"/>
        <w:gridCol w:w="380"/>
        <w:gridCol w:w="378"/>
        <w:gridCol w:w="378"/>
        <w:gridCol w:w="378"/>
        <w:gridCol w:w="386"/>
        <w:gridCol w:w="877"/>
        <w:gridCol w:w="877"/>
        <w:gridCol w:w="1255"/>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001-35518</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20-2590184</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9715 Key West Ave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Rockville</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MD</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(301) 838-2500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Securities registered pursuant to Section 12(b) of the Exchange Act</w:t>
      </w:r>
    </w:p>
    <w:tbl>
      <w:tblPr>
        <w:tblW w:w="8729" w:type="dxa"/>
        <w:jc w:val="left"/>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op w:val="single" w:sz="8" w:space="0" w:color="FFFFFF"/>
              <w:left w:val="single" w:sz="8" w:space="0" w:color="FFFFFF"/>
              <w:right w:val="single" w:sz="8" w:space="0" w:color="FFFFFF"/>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00" w:type="dxa"/>
            <w:gridSpan w:val="3"/>
            <w:tcBorders>
              <w:top w:val="single" w:sz="8" w:space="0" w:color="FFFFFF"/>
              <w:left w:val="single" w:sz="8" w:space="0" w:color="FFFFFF"/>
              <w:bottom w:val="single" w:sz="8" w:space="0" w:color="FFFFFF"/>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424" w:type="dxa"/>
            <w:gridSpan w:val="3"/>
            <w:tcBorders>
              <w:top w:val="single" w:sz="8" w:space="0" w:color="FFFFFF"/>
              <w:left w:val="single" w:sz="8" w:space="0" w:color="FFFFFF"/>
              <w:bottom w:val="single" w:sz="8" w:space="0" w:color="FFFFFF"/>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705" w:type="dxa"/>
            <w:gridSpan w:val="3"/>
            <w:tcBorders>
              <w:top w:val="single" w:sz="8" w:space="0" w:color="FFFFFF"/>
              <w:left w:val="single" w:sz="8" w:space="0" w:color="FFFFFF"/>
              <w:bottom w:val="single" w:sz="8" w:space="0" w:color="FFFFFF"/>
              <w:right w:val="single" w:sz="8" w:space="0" w:color="FFFFFF"/>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color w:val="FF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00" w:after="283"/>
        <w:jc w:val="left"/>
        <w:rPr>
          <w:rFonts w:ascii="Times New Roman;serif" w:hAnsi="Times New Roman;serif"/>
          <w:b/>
          <w:color w:val="212529"/>
          <w:sz w:val="20"/>
        </w:rPr>
      </w:pPr>
      <w:r>
        <w:rPr>
          <w:rFonts w:ascii="Times New Roman;serif" w:hAnsi="Times New Roman;serif"/>
          <w:b/>
          <w:color w:val="212529"/>
          <w:sz w:val="20"/>
        </w:rPr>
        <w:t>Item 2.02 Results of Operations and Financial Condition.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22, 2026, Supernus Pharmaceuticals, Inc. issued a press release announcing that it will report its business results for the second quarter of 2026 after the market closes on Tuesday, August 4, 2026. The Company will host a conference call and webcast on Tuesday, August 4, 2026 at 4:30 p.m. E.T. to discuss its second quarter 2026 financial and business results. A copy of this press release is furnished as Exhibit 99.1 hereto and is incorporated herein by reference.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441" w:type="dxa"/>
        <w:jc w:val="left"/>
        <w:tblInd w:w="0" w:type="dxa"/>
        <w:tblLayout w:type="fixed"/>
        <w:tblCellMar>
          <w:top w:w="28" w:type="dxa"/>
          <w:left w:w="28" w:type="dxa"/>
          <w:bottom w:w="28" w:type="dxa"/>
          <w:right w:w="28" w:type="dxa"/>
        </w:tblCellMar>
      </w:tblPr>
      <w:tblGrid>
        <w:gridCol w:w="234"/>
        <w:gridCol w:w="205"/>
        <w:gridCol w:w="207"/>
        <w:gridCol w:w="1984"/>
        <w:gridCol w:w="1984"/>
        <w:gridCol w:w="282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07x22xearningscallan.htm">
              <w:r>
                <w:rPr>
                  <w:rStyle w:val="InternetLink"/>
                  <w:rFonts w:ascii="Times New Roman;serif" w:hAnsi="Times New Roman;serif"/>
                  <w:b w:val="false"/>
                  <w:color w:val="0000FF"/>
                  <w:sz w:val="20"/>
                  <w:u w:val="single"/>
                </w:rPr>
                <w:t>Press Release dated July 22, 2026</w:t>
              </w:r>
            </w:hyperlink>
            <w:r>
              <w:rPr>
                <w:color w:val="000000"/>
              </w:rPr>
              <w:t xml:space="preserve"> </w:t>
            </w:r>
            <w:r>
              <w:rPr>
                <w:rFonts w:ascii="Times New Roman;serif" w:hAnsi="Times New Roman;serif"/>
                <w:b w:val="false"/>
                <w:color w:val="000000"/>
                <w:sz w:val="20"/>
              </w:rPr>
              <w:t>filed as an Exhibit pursuant to Item 2.02 hereof.</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left"/>
        <w:rPr/>
      </w:pPr>
      <w:r>
        <w:rPr/>
      </w:r>
    </w:p>
    <w:tbl>
      <w:tblPr>
        <w:tblW w:w="7764" w:type="dxa"/>
        <w:jc w:val="left"/>
        <w:tblInd w:w="0" w:type="dxa"/>
        <w:tblLayout w:type="fixed"/>
        <w:tblCellMar>
          <w:top w:w="28" w:type="dxa"/>
          <w:left w:w="28" w:type="dxa"/>
          <w:bottom w:w="28" w:type="dxa"/>
          <w:right w:w="28" w:type="dxa"/>
        </w:tblCellMar>
      </w:tblPr>
      <w:tblGrid>
        <w:gridCol w:w="717"/>
        <w:gridCol w:w="630"/>
        <w:gridCol w:w="633"/>
        <w:gridCol w:w="548"/>
        <w:gridCol w:w="548"/>
        <w:gridCol w:w="548"/>
        <w:gridCol w:w="1208"/>
        <w:gridCol w:w="1208"/>
        <w:gridCol w:w="172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22,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b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left"/>
        <w:rPr/>
      </w:pPr>
      <w:r>
        <w:rPr>
          <w:color w:val="000000"/>
        </w:rPr>
        <w:t> </w:t>
      </w:r>
      <w:r>
        <w:rPr/>
        <w:drawing>
          <wp:inline distT="0" distB="0" distL="0" distR="0">
            <wp:extent cx="2914650" cy="733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914650" cy="7334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4" w:before="0" w:after="0"/>
        <w:jc w:val="center"/>
        <w:rPr>
          <w:rFonts w:ascii="Times New Roman;serif" w:hAnsi="Times New Roman;serif"/>
          <w:b/>
          <w:color w:val="000000"/>
          <w:sz w:val="24"/>
        </w:rPr>
      </w:pPr>
      <w:r>
        <w:rPr>
          <w:rFonts w:ascii="Times New Roman;serif" w:hAnsi="Times New Roman;serif"/>
          <w:b/>
          <w:color w:val="000000"/>
          <w:sz w:val="24"/>
        </w:rPr>
        <w:t>Supernus Pharmaceuticals to Announce Second Quarter 2026 Financial Results and Host Conference Call on August 4,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jc w:val="both"/>
        <w:rPr/>
      </w:pPr>
      <w:r>
        <w:rPr>
          <w:rFonts w:ascii="Times New Roman;serif" w:hAnsi="Times New Roman;serif"/>
          <w:b/>
          <w:color w:val="000000"/>
          <w:sz w:val="20"/>
        </w:rPr>
        <w:t>ROCKVILLE, Md., July 22, 2026</w:t>
      </w:r>
      <w:r>
        <w:rPr>
          <w:color w:val="000000"/>
        </w:rPr>
        <w:t xml:space="preserve"> – </w:t>
      </w:r>
      <w:r>
        <w:rPr>
          <w:rFonts w:ascii="Times New Roman;serif" w:hAnsi="Times New Roman;serif"/>
          <w:b w:val="false"/>
          <w:color w:val="000000"/>
          <w:sz w:val="20"/>
        </w:rPr>
        <w:t>Supernus Pharmaceuticals, Inc. (Nasdaq: SUPN), a biopharmaceutical company focused on developing and commercializing products for the treatment of central nervous system (CNS) diseases, today announced that it will report second quarter 2026 financial and business results after the market closes on Tuesday, August 4, 2026.</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Jack Khattar, President and CEO, and Tim Dec, Senior Vice President and CFO, will host a conference call and webcast on Tuesday, August 4, 2026, at 4:30 p.m. ET to discuss these results. Following management’s prepared remarks and discussion of business results, the call will be open for questions. </w:t>
      </w:r>
    </w:p>
    <w:p>
      <w:pPr>
        <w:pStyle w:val="TextBody"/>
        <w:bidi w:val="0"/>
        <w:spacing w:before="0" w:after="0"/>
        <w:jc w:val="left"/>
        <w:rPr/>
      </w:pPr>
      <w:r>
        <w:rPr/>
      </w:r>
    </w:p>
    <w:p>
      <w:pPr>
        <w:pStyle w:val="TextBody"/>
        <w:bidi w:val="0"/>
        <w:spacing w:lineRule="auto" w:line="244" w:before="0" w:after="0"/>
        <w:jc w:val="both"/>
        <w:rPr/>
      </w:pPr>
      <w:r>
        <w:rPr>
          <w:rFonts w:ascii="Times New Roman;serif" w:hAnsi="Times New Roman;serif"/>
          <w:b w:val="false"/>
          <w:color w:val="000000"/>
          <w:sz w:val="20"/>
        </w:rPr>
        <w:t xml:space="preserve">A live webcast will be accessible in the Events &amp; Presentations section of the Company’s Investor Relations website at </w:t>
      </w:r>
      <w:r>
        <w:rPr>
          <w:rFonts w:ascii="Times New Roman;serif" w:hAnsi="Times New Roman;serif"/>
          <w:b w:val="false"/>
          <w:color w:val="0000FF"/>
          <w:sz w:val="20"/>
        </w:rPr>
        <w:t>www.supernus.com/investors</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44" w:before="0" w:after="0"/>
        <w:jc w:val="both"/>
        <w:rPr/>
      </w:pPr>
      <w:r>
        <w:rPr>
          <w:rFonts w:ascii="Times New Roman;serif" w:hAnsi="Times New Roman;serif"/>
          <w:b w:val="false"/>
          <w:color w:val="000000"/>
          <w:sz w:val="20"/>
        </w:rPr>
        <w:t xml:space="preserve">Participants may also pre-register any time before the call </w:t>
      </w:r>
      <w:r>
        <w:rPr>
          <w:rFonts w:ascii="Times New Roman;serif" w:hAnsi="Times New Roman;serif"/>
          <w:b w:val="false"/>
          <w:color w:val="0000FF"/>
          <w:sz w:val="20"/>
        </w:rPr>
        <w:t>here</w:t>
      </w:r>
      <w:r>
        <w:rPr>
          <w:rFonts w:ascii="Times New Roman;serif" w:hAnsi="Times New Roman;serif"/>
          <w:b w:val="false"/>
          <w:color w:val="000000"/>
          <w:sz w:val="20"/>
        </w:rPr>
        <w:t>. Once registration is completed, participants will be provided a dial-in number with a personalized conference code to access the call. Please dial in 15 minutes prior to the start time.</w:t>
      </w:r>
    </w:p>
    <w:p>
      <w:pPr>
        <w:pStyle w:val="TextBody"/>
        <w:bidi w:val="0"/>
        <w:spacing w:before="0" w:after="0"/>
        <w:jc w:val="left"/>
        <w:rPr/>
      </w:pPr>
      <w:r>
        <w:rPr/>
      </w:r>
    </w:p>
    <w:p>
      <w:pPr>
        <w:pStyle w:val="TextBody"/>
        <w:bidi w:val="0"/>
        <w:spacing w:lineRule="auto" w:line="244" w:before="0" w:after="0"/>
        <w:jc w:val="both"/>
        <w:rPr/>
      </w:pPr>
      <w:r>
        <w:rPr>
          <w:rFonts w:ascii="Times New Roman;serif" w:hAnsi="Times New Roman;serif"/>
          <w:b w:val="false"/>
          <w:color w:val="000000"/>
          <w:sz w:val="20"/>
        </w:rPr>
        <w:t xml:space="preserve">Following the live call, a replay will be available on the Company's Investor Relations website at </w:t>
      </w:r>
      <w:r>
        <w:rPr>
          <w:rFonts w:ascii="Times New Roman;serif" w:hAnsi="Times New Roman;serif"/>
          <w:b w:val="false"/>
          <w:color w:val="0000FF"/>
          <w:sz w:val="20"/>
        </w:rPr>
        <w:t>www.supernus.com/investors</w:t>
      </w:r>
      <w:r>
        <w:rPr>
          <w:rFonts w:ascii="Times New Roman;serif" w:hAnsi="Times New Roman;serif"/>
          <w:b w:val="false"/>
          <w:color w:val="000000"/>
          <w:sz w:val="20"/>
        </w:rPr>
        <w:t>. The webcast will be available on the Company’s website for 60 days following the live call.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4" w:before="0" w:after="0"/>
        <w:jc w:val="both"/>
        <w:rPr>
          <w:rFonts w:ascii="Times New Roman;serif" w:hAnsi="Times New Roman;serif"/>
          <w:b/>
          <w:color w:val="000000"/>
          <w:sz w:val="20"/>
        </w:rPr>
      </w:pPr>
      <w:r>
        <w:rPr>
          <w:rFonts w:ascii="Times New Roman;serif" w:hAnsi="Times New Roman;serif"/>
          <w:b/>
          <w:color w:val="000000"/>
          <w:sz w:val="20"/>
        </w:rPr>
        <w:t xml:space="preserve">About Supernus Pharmaceuticals, Inc. </w:t>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Supernus Pharmaceuticals is a biopharmaceutical company focused on developing and commercializing products for the treatment of central nervous system (CNS) diseases.</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Our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w:t>
      </w:r>
    </w:p>
    <w:p>
      <w:pPr>
        <w:pStyle w:val="TextBody"/>
        <w:bidi w:val="0"/>
        <w:spacing w:before="0" w:after="0"/>
        <w:jc w:val="left"/>
        <w:rPr/>
      </w:pPr>
      <w:r>
        <w:rPr/>
      </w:r>
    </w:p>
    <w:p>
      <w:pPr>
        <w:pStyle w:val="TextBody"/>
        <w:bidi w:val="0"/>
        <w:spacing w:lineRule="auto" w:line="247" w:before="0" w:after="0"/>
        <w:jc w:val="both"/>
        <w:rPr/>
      </w:pPr>
      <w:r>
        <w:rPr>
          <w:rFonts w:ascii="Times New Roman;serif" w:hAnsi="Times New Roman;serif"/>
          <w:b w:val="false"/>
          <w:color w:val="000000"/>
          <w:sz w:val="20"/>
        </w:rPr>
        <w:t xml:space="preserve">For more information, please visit </w:t>
      </w:r>
      <w:r>
        <w:rPr>
          <w:rFonts w:ascii="Times New Roman;serif" w:hAnsi="Times New Roman;serif"/>
          <w:b w:val="false"/>
          <w:color w:val="0000FF"/>
          <w:sz w:val="20"/>
        </w:rPr>
        <w:t>www.supernus.com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within the meaning of the Private Securities Litigation Reform Act of 1995.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Company's ability to sustain and increase its profitability; the Company's ability to raise sufficient capital to fully implement its corporate strategy; the implementation of the Company's corporate strategy; the Company's future financial performance and projected expenditures; the Company's ability to increase the number of prescriptions written for each of its products, and the products of its subsidiaries; the Company's ability to increase its net revenue from its products, and the products of its subsidiaries,; the Company's ability to commercialize its products, and the products of its subsidiaries; the Company's ability to enter into future collaborations with pharmaceutical companies and academic institutions or to obtain funding from government agencies;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the intellectual property of its subsidiaries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 candidates; the Company's ability to increase its manufacturing capabilities for its products and product candidates; the Company's projected markets and growth in markets; the Company's product formulations and patient needs and potential funding sources; the Company's staffing needs; changes to laws and regulations applicable to our industry, the impact of macroeconomic factors, such as economic downturns or uncertainty, international conflict, trade disputes and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tariffs; and other risk factors set forth from time to time in the Company's filings with the Securities and Exchange Commission made pursuant to Section 13 or 15(d) of the Securities Exchange Act of 1934, as amended. The Company undertakes no obligation to update the information in this press release to reflect events or circumstances after the date hereof or to reflect the occurrence of anticipated or unanticipated events.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Jack A. Khattar, President and CEO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Timothy C. Dec, Senior Vice President and CFO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Supernus Pharmaceuticals,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(301) 838-2591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Peter Vozzo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ICR Healthcare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(443) 213-0505</w:t>
      </w:r>
    </w:p>
    <w:p>
      <w:pPr>
        <w:pStyle w:val="TextBody"/>
        <w:bidi w:val="0"/>
        <w:spacing w:lineRule="auto" w:line="288" w:before="0" w:after="0"/>
        <w:jc w:val="both"/>
        <w:rPr>
          <w:rFonts w:ascii="Times New Roman;serif" w:hAnsi="Times New Roman;serif"/>
          <w:b w:val="false"/>
          <w:color w:val="0000FF"/>
          <w:sz w:val="20"/>
        </w:rPr>
      </w:pPr>
      <w:r>
        <w:rPr>
          <w:rFonts w:ascii="Times New Roman;serif" w:hAnsi="Times New Roman;serif"/>
          <w:b w:val="false"/>
          <w:color w:val="0000FF"/>
          <w:sz w:val="20"/>
        </w:rPr>
        <w:t>peter.vozzo@icrhealthcare.com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1250</Words>
  <Characters>7259</Characters>
  <CharactersWithSpaces>8458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