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May 5,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Supernus Pharmaceuticals,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7"/>
        <w:gridCol w:w="1561"/>
        <w:gridCol w:w="1577"/>
        <w:gridCol w:w="381"/>
        <w:gridCol w:w="380"/>
        <w:gridCol w:w="378"/>
        <w:gridCol w:w="378"/>
        <w:gridCol w:w="378"/>
        <w:gridCol w:w="386"/>
        <w:gridCol w:w="877"/>
        <w:gridCol w:w="877"/>
        <w:gridCol w:w="1255"/>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2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001-35518</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20-2590184</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81"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9715 Key West Ave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Rockville</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MD</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20850</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(301) 838-2500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Securities registered pursuant to Section 12(b) of the Exchange Act</w:t>
      </w:r>
    </w:p>
    <w:tbl>
      <w:tblPr>
        <w:tblW w:w="8729" w:type="dxa"/>
        <w:jc w:val="left"/>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424"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600"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424"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SUPN</w:t>
            </w:r>
          </w:p>
        </w:tc>
        <w:tc>
          <w:tcPr>
            <w:tcW w:w="3705" w:type="dxa"/>
            <w:gridSpan w:val="3"/>
            <w:tcBorders>
              <w:top w:val="single" w:sz="8" w:space="0" w:color="FFFFFF"/>
              <w:left w:val="single" w:sz="8" w:space="0" w:color="FFFFFF"/>
              <w:bottom w:val="single" w:sz="8" w:space="0" w:color="FFFFFF"/>
              <w:right w:val="single" w:sz="8" w:space="0" w:color="FFFFFF"/>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color w:val="FF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00" w:after="283"/>
        <w:jc w:val="left"/>
        <w:rPr>
          <w:rFonts w:ascii="Times New Roman;serif" w:hAnsi="Times New Roman;serif"/>
          <w:b/>
          <w:color w:val="212529"/>
          <w:sz w:val="20"/>
        </w:rPr>
      </w:pPr>
      <w:r>
        <w:rPr>
          <w:rFonts w:ascii="Times New Roman;serif" w:hAnsi="Times New Roman;serif"/>
          <w:b/>
          <w:color w:val="212529"/>
          <w:sz w:val="20"/>
        </w:rPr>
        <w:t>Item 2.02 Results of Operations and Financial Condition.</w:t>
      </w:r>
    </w:p>
    <w:p>
      <w:pPr>
        <w:pStyle w:val="TextBody"/>
        <w:bidi w:val="0"/>
        <w:spacing w:before="200"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5, 2026, Supernus Pharmaceuticals, Inc. (“Supernus” or the “Company”) issued a press release regarding its financial results for the first quarter ended March 31, 2026. A copy of this press release is furnished as Exhibit 99.1 hereto and is incorporated herein by reference.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As previously announced, Supernus is hosting a conference call at 4:30 p.m. Eastern Time on Tuesday, May 5, 2026, to present the business and financial results. A live webcast is available at </w:t>
      </w:r>
      <w:r>
        <w:rPr>
          <w:rFonts w:ascii="Times New Roman;serif" w:hAnsi="Times New Roman;serif"/>
          <w:b w:val="false"/>
          <w:color w:val="0000FF"/>
          <w:sz w:val="20"/>
        </w:rPr>
        <w:t>www.supernus.com</w:t>
      </w:r>
      <w:r>
        <w:rPr>
          <w:rFonts w:ascii="Times New Roman;serif" w:hAnsi="Times New Roman;serif"/>
          <w:b w:val="false"/>
          <w:color w:val="000000"/>
          <w:sz w:val="20"/>
        </w:rPr>
        <w:t xml:space="preserve">. The webcast will be archived on the Company’s website for 60 days following the live call.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Items 2.02 (including Exhibit 99.1)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whether made before or after the date of this report,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that do not convey historical information, but relate to predicted or potential future events, such as statements of our plans, strategies and intentions. These statements can often be identified by the use of forward-looking terminology such as “believe,” “expect,” “intend,” “may,” “will,” “should,” or “anticipate” or similar terminology. All statements other than statements of historical facts included in this Current Report on Form 8-K are forward-looking statements. All forward-looking statements speak only as of the date of this Current Report on Form 8-K. Except for Supernus’ ongoing obligations to disclose material information under the federal securities laws, Supernus undertakes no obligation to update or revise any forward-looking statements, whether as a result of new information, future events or otherwise. In addition to the risks and uncertainties of ordinary business operations and conditions in the general economy and the markets in which Supernus competes, the forward-looking statements of Supernus contained in this Current Report on Form 8-K are also subject to various risks and uncertainties, including those set forth in Item 1A, “Risk Factors,” in Supernus’ Annual Report on Form 10-K for the fiscal year ended December 31, 2025 which the Company filed on March 2, 2026, and other risk factors set forth from time to time in the Company’s filings with the Securities and Exchange Commission made pursuant to Section 13 or 15(d) of the Securities Exchange Act of 1934, as amended.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365" w:type="dxa"/>
        <w:jc w:val="left"/>
        <w:tblInd w:w="0" w:type="dxa"/>
        <w:tblLayout w:type="fixed"/>
        <w:tblCellMar>
          <w:top w:w="28" w:type="dxa"/>
          <w:left w:w="28" w:type="dxa"/>
          <w:bottom w:w="28" w:type="dxa"/>
          <w:right w:w="28" w:type="dxa"/>
        </w:tblCellMar>
      </w:tblPr>
      <w:tblGrid>
        <w:gridCol w:w="234"/>
        <w:gridCol w:w="205"/>
        <w:gridCol w:w="207"/>
        <w:gridCol w:w="1962"/>
        <w:gridCol w:w="1962"/>
        <w:gridCol w:w="279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6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7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1earningsrelease.htm">
              <w:r>
                <w:rPr>
                  <w:rStyle w:val="InternetLink"/>
                  <w:rFonts w:ascii="Times New Roman;serif" w:hAnsi="Times New Roman;serif"/>
                  <w:b w:val="false"/>
                  <w:color w:val="0000FF"/>
                  <w:sz w:val="20"/>
                  <w:u w:val="single"/>
                </w:rPr>
                <w:t>Press Release dated May 5, 2026</w:t>
              </w:r>
            </w:hyperlink>
            <w:r>
              <w:rPr>
                <w:color w:val="000000"/>
              </w:rPr>
              <w:t xml:space="preserve"> </w:t>
            </w:r>
            <w:r>
              <w:rPr>
                <w:rFonts w:ascii="Times New Roman;serif" w:hAnsi="Times New Roman;serif"/>
                <w:b w:val="false"/>
                <w:color w:val="000000"/>
                <w:sz w:val="20"/>
              </w:rPr>
              <w:t>filed as an Exhibit pursuant to Item 2.02 hereof.</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720"/>
        <w:jc w:val="left"/>
        <w:rPr/>
      </w:pPr>
      <w:r>
        <w:rPr/>
      </w:r>
    </w:p>
    <w:tbl>
      <w:tblPr>
        <w:tblW w:w="7688" w:type="dxa"/>
        <w:jc w:val="left"/>
        <w:tblInd w:w="0" w:type="dxa"/>
        <w:tblLayout w:type="fixed"/>
        <w:tblCellMar>
          <w:top w:w="28" w:type="dxa"/>
          <w:left w:w="28" w:type="dxa"/>
          <w:bottom w:w="28" w:type="dxa"/>
          <w:right w:w="28" w:type="dxa"/>
        </w:tblCellMar>
      </w:tblPr>
      <w:tblGrid>
        <w:gridCol w:w="689"/>
        <w:gridCol w:w="606"/>
        <w:gridCol w:w="609"/>
        <w:gridCol w:w="548"/>
        <w:gridCol w:w="548"/>
        <w:gridCol w:w="548"/>
        <w:gridCol w:w="1208"/>
        <w:gridCol w:w="1208"/>
        <w:gridCol w:w="172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SUPERNUS PHARMACEUTICALS, INC.</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8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May 5, 2026</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C. Dec</w:t>
              <w:b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2914650" cy="676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914650" cy="676275"/>
                    </a:xfrm>
                    <a:prstGeom prst="rect">
                      <a:avLst/>
                    </a:prstGeom>
                  </pic:spPr>
                </pic:pic>
              </a:graphicData>
            </a:graphic>
          </wp:inline>
        </w:drawing>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Supernus Announces First Quarter 2026 Financial Results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Total revenues were $207.7 million in the first quarter 2026, a 39% increase compared to same period last year.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Combined revenues of the Company's four growth products increased to $149.1 million in the first quarter 2026, representing an increase of 56% compared to the same period last year. This strong growth was driven by an increase in net sales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GOCOVRI</w:t>
      </w:r>
      <w:r>
        <w:rPr>
          <w:rFonts w:ascii="Times New Roman;serif" w:hAnsi="Times New Roman;serif"/>
          <w:b w:val="false"/>
          <w:color w:val="000000"/>
          <w:sz w:val="13"/>
        </w:rPr>
        <w:t>®</w:t>
      </w:r>
      <w:r>
        <w:rPr>
          <w:rFonts w:ascii="Times New Roman;serif" w:hAnsi="Times New Roman;serif"/>
          <w:b w:val="false"/>
          <w:color w:val="000000"/>
          <w:sz w:val="20"/>
        </w:rPr>
        <w:t>, and the addition of sales from ZURZUVAE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ONAPGO™.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submission to the FDA for second supplier for ONAPGO expected in third quarter 2026, with potential approval by mid-year 2027.</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reiterates full year 2026 financial guidance.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ROCKVILLE, Md., May 5, 2026 </w:t>
      </w:r>
      <w:r>
        <w:rPr>
          <w:color w:val="000000"/>
        </w:rPr>
        <w:t xml:space="preserve">– </w:t>
      </w:r>
      <w:r>
        <w:rPr>
          <w:rFonts w:ascii="Times New Roman;serif" w:hAnsi="Times New Roman;serif"/>
          <w:b w:val="false"/>
          <w:color w:val="000000"/>
          <w:sz w:val="20"/>
          <w:shd w:fill="FFFFFF" w:val="clear"/>
        </w:rPr>
        <w:t xml:space="preserve">Supernus Pharmaceuticals, Inc. (Nasdaq: SUPN), a biopharmaceutical company focused on developing and commercializing products for the treatment of central nervous system (CNS) diseases, today announced financial results for the </w:t>
      </w:r>
      <w:r>
        <w:rPr>
          <w:rFonts w:ascii="Times New Roman;serif" w:hAnsi="Times New Roman;serif"/>
          <w:b w:val="false"/>
          <w:color w:val="000000"/>
          <w:sz w:val="20"/>
        </w:rPr>
        <w:t>first</w:t>
      </w:r>
      <w:r>
        <w:rPr>
          <w:color w:val="000000"/>
          <w:shd w:fill="FFFFFF" w:val="clear"/>
        </w:rPr>
        <w:t xml:space="preserve"> </w:t>
      </w:r>
      <w:r>
        <w:rPr>
          <w:rFonts w:ascii="Times New Roman;serif" w:hAnsi="Times New Roman;serif"/>
          <w:b w:val="false"/>
          <w:color w:val="000000"/>
          <w:sz w:val="20"/>
          <w:shd w:fill="FFFFFF" w:val="clear"/>
        </w:rPr>
        <w:t>quarter 2026 and associated Company developments.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Our first quarter results reflect a strong start to the year, including a 56% year-over-year increase in combined revenues of our growth products,” said Jack Khattar, President and CEO of Supernus. “We have positive momentum across our business, and I look forward to continued strong growth and execution of our key products throughout the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Commercial Highlights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ONAPGO net product sales were $8.4 million in the first quarter of 2026, reflecting resumption of new patient initiation in February 2026. Since the launch in April 2025, and through the end of April 2026, approximately 2,200 enrollment forms have been submitted by more than 645 prescribers. The Company expects to file a regulatory submission to the U.S. Food and Drug Administration (FDA) for a second supplier for ONAPGO in the third quarter of 2026, with potential FDA approval for the second supplier by mid-year 2027.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Collaboration revenue from ZURZUVAE was $27.6 million in the first quarter of 2026. Collaboration revenue represents 50% of the net revenues for ZURZUVAE recorded by Biogen Inc. First quarter 2026 U.S sales of ZURZUVAE, as reported by Biogen Inc., increased approximately 100% compared to the same period in 2025. The total number of prescriptions for ZURZUVAE increased by 82% in the first quarter of 2026 compared to the same period last year.</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sales of Qelbree increased 20% to $77.9 million in the first quarter of 2026, compared to the same period in 2025, driven primarily by volume growth. Total IQVIA prescriptions</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 xml:space="preserve">for Qelbree were 254,824 for the first quarter 2026, representing an increase of 19% compared to the same period last year. The total number of prescribers reached an all-time high of approximately 43,000 in the first quarter of 2026.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Net sales of GOCOVRI increased 15% to $35.2 million in the first quarter of 2026, compared to the same period in 2025. Total number of prescriptions grew by 7% in the first quarter of 2026 compared to the same period last year. </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Product Pipeline Update</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SPN-817 – Novel first-in-class highly selective AChE inhibitor for epilepsy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Phase 2b randomized, double-blind, placebo-controlled study of 3mg and 4mg twice daily doses is ongoing with a targeted enrollment of approximately 258 adult patients with treatment resistant focal seizures.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SPN-820 – Novel first-in-class molecule that increases mTORC1 mediated synaptic function for depression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Phase 2b multi-center, randomized, double-blind, placebo-controlled trial in approximately 200 adults with major depressive disorder (MDD). The study will examine the safety and tolerability of SPN-820 2400 mg given intermittently (twice weekly) as an adjunctive treatment to the current baseline antidepressant therapy, as well as assess the rapid onset of improvement in depressive symptoms. </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SPN-443 – Novel stimulant for attention-deficit/hyperactivity disorder (ADHD)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Company expects to initiate a Phase 1 single-ascending/multiple-ascending dose study in adult healthy volunteers in the second half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This section includes information on non-GAAP financial measures. See "Non-GAAP Financial Information" section for information on non-GAAP financial measures. In addition, a reconciliation of applicable GAAP to non-GAAP financial information is included at the end of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total revenues (dollars in millions):</w:t>
      </w:r>
    </w:p>
    <w:tbl>
      <w:tblPr>
        <w:tblW w:w="8525" w:type="dxa"/>
        <w:jc w:val="left"/>
        <w:tblInd w:w="0" w:type="dxa"/>
        <w:tblLayout w:type="fixed"/>
        <w:tblCellMar>
          <w:top w:w="28" w:type="dxa"/>
          <w:left w:w="28" w:type="dxa"/>
          <w:bottom w:w="28" w:type="dxa"/>
          <w:right w:w="28" w:type="dxa"/>
        </w:tblCellMar>
      </w:tblPr>
      <w:tblGrid>
        <w:gridCol w:w="1798"/>
        <w:gridCol w:w="1579"/>
        <w:gridCol w:w="1587"/>
        <w:gridCol w:w="211"/>
        <w:gridCol w:w="616"/>
        <w:gridCol w:w="109"/>
        <w:gridCol w:w="109"/>
        <w:gridCol w:w="109"/>
        <w:gridCol w:w="109"/>
        <w:gridCol w:w="211"/>
        <w:gridCol w:w="616"/>
        <w:gridCol w:w="109"/>
        <w:gridCol w:w="109"/>
        <w:gridCol w:w="109"/>
        <w:gridCol w:w="109"/>
        <w:gridCol w:w="303"/>
        <w:gridCol w:w="303"/>
        <w:gridCol w:w="429"/>
      </w:tblGrid>
      <w:tr>
        <w:trPr/>
        <w:tc>
          <w:tcPr>
            <w:tcW w:w="179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3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GOCOVRI</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Trokendi XR</w:t>
            </w:r>
            <w:r>
              <w:rPr>
                <w:rFonts w:ascii="Times New Roman;serif" w:hAnsi="Times New Roman;serif"/>
                <w:b w:val="false"/>
                <w:color w:val="000000"/>
                <w:sz w:val="13"/>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APOKYN</w:t>
            </w:r>
            <w:r>
              <w:rPr>
                <w:rFonts w:ascii="Times New Roman;serif" w:hAnsi="Times New Roman;serif"/>
                <w:b w:val="false"/>
                <w:color w:val="000000"/>
                <w:sz w:val="13"/>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Oxtellar XR</w:t>
            </w:r>
            <w:r>
              <w:rPr>
                <w:rFonts w:ascii="Times New Roman;serif" w:hAnsi="Times New Roman;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net product sales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Collaboration revenue (ZURZUVAE) </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revenues from commercial products (Non-GAAP) </w:t>
            </w:r>
            <w:r>
              <w:rPr>
                <w:rFonts w:ascii="Times New Roman;serif" w:hAnsi="Times New Roman;serif"/>
                <w:b w:val="false"/>
                <w:color w:val="000000"/>
                <w:sz w:val="13"/>
              </w:rPr>
              <w:t>(1) (4)</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Royalty, licensing and other revenues</w:t>
            </w:r>
            <w:r>
              <w:rPr>
                <w:rFonts w:ascii="Times New Roman;serif" w:hAnsi="Times New Roman;serif"/>
                <w:b w:val="false"/>
                <w:color w:val="000000"/>
                <w:sz w:val="13"/>
              </w:rPr>
              <w:t>(5)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274%</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Total revenues from commercial products (non-GAAP)</w:t>
      </w:r>
      <w:r>
        <w:rPr>
          <w:rFonts w:ascii="Times New Roman;serif" w:hAnsi="Times New Roman;serif"/>
          <w:b w:val="false"/>
          <w:color w:val="000000"/>
          <w:sz w:val="13"/>
        </w:rPr>
        <w:t xml:space="preserve">(1)(4) </w:t>
      </w:r>
      <w:r>
        <w:rPr>
          <w:rFonts w:ascii="Times New Roman;serif" w:hAnsi="Times New Roman;serif"/>
          <w:b w:val="false"/>
          <w:color w:val="000000"/>
          <w:sz w:val="20"/>
        </w:rPr>
        <w:t>represent</w:t>
      </w:r>
      <w:r>
        <w:rPr>
          <w:color w:val="000000"/>
        </w:rPr>
        <w:t xml:space="preserve"> </w:t>
      </w:r>
      <w:r>
        <w:rPr>
          <w:rFonts w:ascii="Times New Roman;serif" w:hAnsi="Times New Roman;serif"/>
          <w:b w:val="false"/>
          <w:color w:val="000000"/>
          <w:sz w:val="20"/>
        </w:rPr>
        <w:t>revenues from our product sales to customers and through our collaboration agreement with Biogen.</w:t>
      </w:r>
      <w:r>
        <w:rPr>
          <w:color w:val="00000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Other Financial 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recognized $20.0 million of licensing revenue in the first quarter of 2026 related to the achievement of a commercial milestone under its collaboration agreement with Shionogi.</w:t>
      </w:r>
    </w:p>
    <w:p>
      <w:pPr>
        <w:pStyle w:val="TextBody"/>
        <w:bidi w:val="0"/>
        <w:spacing w:before="0" w:after="0"/>
        <w:jc w:val="both"/>
        <w:rPr/>
      </w:pPr>
      <w:r>
        <w:rPr/>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 xml:space="preserve">Operating loss was $8.3 million for the first quarter of 2026, compared to an operating loss of $10.3 million for the same period in 2025. The change was primarily due to higher revenues and a lower change in contingent consideration loss in the 2026 period, partially offset by an increase in selling, general, and administrative expenses associated with the collaboration agreement with Biogen Inc., an increase in research and development costs related to clinical program costs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SPN-817, which includes a $10.0 million expense to former Biscayne security holders, and an increase in intangible asset amortization expense for ZURZUVAE and ONAPGO intangible assets in 2026. </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Adjusted operating earnings (non-GAAP)</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were $28.7 million in the first quarter of 2026, compared to $25.9 million for the same period in 2025. </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Net loss and diluted loss per share were $2.3 million and $0.04 for the first quarter of 2026, respectively, compared to net loss and diluted loss per share of $11.8 million and $0.21 for the same period in 2025.</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Cash, cash equivalents, and current marketable securities were approximately $384.2 million as of March 31, 2026, compared to $308.7 million as of December 31, 2025. This increase was primarily due to cash generated from operations and the aforementioned commercial milestone.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Full Year 2026 Financial Guidance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full year 2026, the Company reiterates its full year financial guidance as set forth below (dollars in millions):</w:t>
      </w:r>
    </w:p>
    <w:p>
      <w:pPr>
        <w:pStyle w:val="TextBody"/>
        <w:bidi w:val="0"/>
        <w:spacing w:before="0" w:after="0"/>
        <w:jc w:val="left"/>
        <w:rPr/>
      </w:pPr>
      <w:r>
        <w:rPr/>
      </w:r>
    </w:p>
    <w:tbl>
      <w:tblPr>
        <w:tblW w:w="9190" w:type="dxa"/>
        <w:jc w:val="left"/>
        <w:tblInd w:w="0" w:type="dxa"/>
        <w:tblLayout w:type="fixed"/>
        <w:tblCellMar>
          <w:top w:w="28" w:type="dxa"/>
          <w:left w:w="28" w:type="dxa"/>
          <w:bottom w:w="28" w:type="dxa"/>
          <w:right w:w="28" w:type="dxa"/>
        </w:tblCellMar>
      </w:tblPr>
      <w:tblGrid>
        <w:gridCol w:w="1814"/>
        <w:gridCol w:w="1595"/>
        <w:gridCol w:w="1600"/>
        <w:gridCol w:w="109"/>
        <w:gridCol w:w="109"/>
        <w:gridCol w:w="109"/>
        <w:gridCol w:w="1127"/>
        <w:gridCol w:w="1127"/>
        <w:gridCol w:w="1600"/>
      </w:tblGrid>
      <w:tr>
        <w:trPr/>
        <w:tc>
          <w:tcPr>
            <w:tcW w:w="1814"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Current Guidance (as of February 24, 2026)</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revenues include the following</w:t>
            </w:r>
            <w:r>
              <w:rPr>
                <w:rFonts w:ascii="Times New Roman;serif" w:hAnsi="Times New Roman;serif"/>
                <w:b w:val="false"/>
                <w:color w:val="000000"/>
                <w:sz w:val="13"/>
              </w:rPr>
              <w:t>(7)</w:t>
            </w:r>
            <w:r>
              <w:rPr>
                <w:rFonts w:ascii="Times New Roman;serif" w:hAnsi="Times New Roman;serif"/>
                <w:b w:val="false"/>
                <w:color w:val="000000"/>
                <w:sz w:val="20"/>
              </w:rPr>
              <w:t xml:space="preserve">: </w:t>
            </w:r>
          </w:p>
          <w:p>
            <w:pPr>
              <w:pStyle w:val="TableContents"/>
              <w:bidi w:val="0"/>
              <w:spacing w:lineRule="auto" w:line="240" w:before="0" w:after="0"/>
              <w:ind w:left="0" w:right="0" w:hanging="360"/>
              <w:jc w:val="left"/>
              <w:rPr/>
            </w:pPr>
            <w:r>
              <w:rPr>
                <w:color w:val="000000"/>
              </w:rPr>
              <w:t>◦</w:t>
            </w:r>
            <w:r>
              <w:rPr>
                <w:rFonts w:ascii="Times New Roman;serif" w:hAnsi="Times New Roman;serif"/>
                <w:b w:val="false"/>
                <w:i/>
                <w:color w:val="000000"/>
                <w:sz w:val="20"/>
              </w:rPr>
              <w:t>ONAPGO net sales of $45 million - $70 million</w:t>
            </w:r>
          </w:p>
          <w:p>
            <w:pPr>
              <w:pStyle w:val="TableContents"/>
              <w:bidi w:val="0"/>
              <w:spacing w:lineRule="auto" w:line="240" w:before="0" w:after="0"/>
              <w:ind w:left="0" w:right="0" w:hanging="360"/>
              <w:jc w:val="left"/>
              <w:rPr/>
            </w:pPr>
            <w:r>
              <w:rPr>
                <w:color w:val="000000"/>
              </w:rPr>
              <w:t>◦</w:t>
            </w:r>
            <w:r>
              <w:rPr>
                <w:rFonts w:ascii="Times New Roman;serif" w:hAnsi="Times New Roman;serif"/>
                <w:b w:val="false"/>
                <w:i/>
                <w:color w:val="000000"/>
                <w:sz w:val="20"/>
              </w:rPr>
              <w:t>Trokendi XR and Oxtellar XR net sales of $40 - $50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$840 - $870</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R&amp;D and SG&amp;A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$620 - $650</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$0 - $30</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earnings (non-GAAP)</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$140 - $170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Non-GAAP Financial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financial measures that present financial information which do not comply with United States generally accepted accounting principles (GAAP). The non-GAAP financial measures should be considered in addition to, not as a substitute for or in isolation from, or superior to measures prepared in accordance with GAAP. Non-GAAP adjusted operating earnings on a historical and projected basis adjusts for non-cash share-based compensation expense, depreciation and amortization, intangible asset impairment charges and changes to fair value of contingent consideration, and for factors that are unusual, non-recurring or unpredictable, and excludes those costs, expenses, and other specified items presented in the reconciliation tables in this press release. We also present total revenues excluding net sales of Trokendi XR (GAAP) and Oxtellar XR (GAAP), which is a non-GAAP measure and is calculated as total revenues (GAAP) less net product sales of Trokendi XR (GAAP) and Oxtellar XR (GAAP). Beginning in the year a product loses exclusivity due to generic entrants, we generally do not expect net product sales of such products to constitute a significant part of our revenue in the future. We also present total revenues from commercial products, which is also a non-GAAP measure and is calculated as the combined total of total net product sales (GAAP) and collaboration revenues (GAAP). We believe that the use of non-GAAP financial measures provides useful supplemental information to management, investors, analysts and others regarding the Company's revenue and results of operations and assist management, investors, analysts, and others in understanding and evaluating our revenue growth and the performance of the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limitations associated with the use of non-GAAP financial measures and therefore comparability may be limited. These limitations include: non-GAAP financial measures that may not be entirely comparable to similarly titled measures used by other companies; these may not reflect all items of income and expense, as applicable, that affect our operations; there may be potential differences among calculation methodologies; these may differ from the non-GAAP information used by other companies, including peer companies. We mitigate these limitations by reconciling the non-GAAP financial measure to the most comparable GAAP financial measure. Investors are encouraged to review the reconciliation. The Company's 2026 financial guidance is also being provided on both a GAAP and a non-GAAP basis.</w:t>
      </w:r>
    </w:p>
    <w:p>
      <w:pPr>
        <w:pStyle w:val="TextBody"/>
        <w:bidi w:val="0"/>
        <w:spacing w:before="20" w:after="283"/>
        <w:jc w:val="both"/>
        <w:rPr/>
      </w:pPr>
      <w:r>
        <w:rPr/>
      </w:r>
    </w:p>
    <w:tbl>
      <w:tblPr>
        <w:tblW w:w="2328" w:type="dxa"/>
        <w:jc w:val="left"/>
        <w:tblInd w:w="0" w:type="dxa"/>
        <w:tblLayout w:type="fixed"/>
        <w:tblCellMar>
          <w:top w:w="28" w:type="dxa"/>
          <w:left w:w="28" w:type="dxa"/>
          <w:bottom w:w="28" w:type="dxa"/>
          <w:right w:w="28" w:type="dxa"/>
        </w:tblCellMar>
      </w:tblPr>
      <w:tblGrid>
        <w:gridCol w:w="353"/>
        <w:gridCol w:w="309"/>
        <w:gridCol w:w="313"/>
        <w:gridCol w:w="109"/>
        <w:gridCol w:w="109"/>
        <w:gridCol w:w="109"/>
        <w:gridCol w:w="109"/>
        <w:gridCol w:w="109"/>
        <w:gridCol w:w="109"/>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 Notes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See the section titled "Non-GAAP Financial Information" for information about this non-GAAP financial measure. A reconciliation of each non-GAAP financial measure to the most directly comparable GAAP financial measure is included at the end of this press release.</w:t>
      </w:r>
    </w:p>
    <w:p>
      <w:pPr>
        <w:pStyle w:val="TextBody"/>
        <w:bidi w:val="0"/>
        <w:spacing w:lineRule="auto" w:line="288" w:before="20" w:after="283"/>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net product sales of MYOBLOC</w:t>
      </w:r>
      <w:r>
        <w:rPr>
          <w:rFonts w:ascii="Times New Roman;serif" w:hAnsi="Times New Roman;serif"/>
          <w:b w:val="false"/>
          <w:color w:val="000000"/>
          <w:sz w:val="13"/>
        </w:rPr>
        <w:t>®</w:t>
      </w:r>
      <w:r>
        <w:rPr>
          <w:rFonts w:ascii="Times New Roman;serif" w:hAnsi="Times New Roman;serif"/>
          <w:b w:val="false"/>
          <w:color w:val="000000"/>
          <w:sz w:val="20"/>
        </w:rPr>
        <w:t>, XADAGO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Osmolex ER</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283"/>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Represents proportionate share of collaboration revenue from Biogen’s sales of ZURZUVAE to customers in the U.S. from July 31, 2025, the closing of the acquisition of Sage Therapeutics, Inc.</w:t>
      </w:r>
    </w:p>
    <w:p>
      <w:pPr>
        <w:pStyle w:val="TextBody"/>
        <w:bidi w:val="0"/>
        <w:spacing w:lineRule="auto" w:line="288" w:before="20" w:after="283"/>
        <w:jc w:val="both"/>
        <w:rPr/>
      </w:pPr>
      <w:r>
        <w:rPr>
          <w:rFonts w:ascii="Times New Roman;serif" w:hAnsi="Times New Roman;serif"/>
          <w:b w:val="false"/>
          <w:color w:val="000000"/>
          <w:sz w:val="13"/>
        </w:rPr>
        <w:t xml:space="preserve">(4) </w:t>
      </w:r>
      <w:r>
        <w:rPr>
          <w:rFonts w:ascii="Times New Roman;serif" w:hAnsi="Times New Roman;serif"/>
          <w:b w:val="false"/>
          <w:color w:val="000000"/>
          <w:sz w:val="20"/>
        </w:rPr>
        <w:t>Total revenues from commercial products, a non-GAAP measure, represents</w:t>
      </w:r>
      <w:r>
        <w:rPr>
          <w:color w:val="000000"/>
        </w:rPr>
        <w:t xml:space="preserve"> </w:t>
      </w:r>
      <w:r>
        <w:rPr>
          <w:rFonts w:ascii="Times New Roman;serif" w:hAnsi="Times New Roman;serif"/>
          <w:b w:val="false"/>
          <w:color w:val="000000"/>
          <w:sz w:val="20"/>
        </w:rPr>
        <w:t>revenues from our product sales to customers and through our collaboration agreement with Biogen.</w:t>
      </w:r>
      <w:r>
        <w:rPr>
          <w:color w:val="000000"/>
        </w:rPr>
        <w:t xml:space="preserve"> </w:t>
      </w:r>
    </w:p>
    <w:p>
      <w:pPr>
        <w:pStyle w:val="TextBody"/>
        <w:bidi w:val="0"/>
        <w:spacing w:lineRule="auto" w:line="276" w:before="20" w:after="283"/>
        <w:jc w:val="both"/>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Royalty, licensing, and other revenues include royalties on generic Trokendi XR, Oxtellar XR, other licensed products and intellectual property.</w:t>
      </w:r>
    </w:p>
    <w:p>
      <w:pPr>
        <w:pStyle w:val="TextBody"/>
        <w:bidi w:val="0"/>
        <w:spacing w:lineRule="auto" w:line="288" w:before="20" w:after="283"/>
        <w:jc w:val="both"/>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IQVIA data restatement July 1, 2025.</w:t>
      </w:r>
    </w:p>
    <w:p>
      <w:pPr>
        <w:pStyle w:val="TextBody"/>
        <w:bidi w:val="0"/>
        <w:spacing w:lineRule="auto" w:line="288" w:before="20" w:after="283"/>
        <w:jc w:val="both"/>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Includes net product sales, collaboration revenue, and royalty, licensing, and other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Conference Call Details</w:t>
      </w:r>
    </w:p>
    <w:p>
      <w:pPr>
        <w:pStyle w:val="TextBody"/>
        <w:bidi w:val="0"/>
        <w:spacing w:lineRule="auto" w:line="288" w:before="200" w:after="283"/>
        <w:jc w:val="both"/>
        <w:rPr/>
      </w:pPr>
      <w:r>
        <w:rPr>
          <w:rFonts w:ascii="Times New Roman;serif" w:hAnsi="Times New Roman;serif"/>
          <w:b w:val="false"/>
          <w:color w:val="000000"/>
          <w:sz w:val="20"/>
        </w:rPr>
        <w:t xml:space="preserve">Supernus will host a conference call and webcast today, May 5, 2026, at 4:30 p.m. Eastern Time to discuss these results. A live webcast will be available in the </w:t>
      </w:r>
      <w:r>
        <w:rPr>
          <w:rFonts w:ascii="Times New Roman;serif" w:hAnsi="Times New Roman;serif"/>
          <w:b w:val="false"/>
          <w:color w:val="0E32E1"/>
          <w:sz w:val="20"/>
        </w:rPr>
        <w:t>Events &amp; Presentations</w:t>
      </w:r>
      <w:r>
        <w:rPr>
          <w:color w:val="000000"/>
        </w:rPr>
        <w:t xml:space="preserve"> </w:t>
      </w:r>
      <w:r>
        <w:rPr>
          <w:rFonts w:ascii="Times New Roman;serif" w:hAnsi="Times New Roman;serif"/>
          <w:b w:val="false"/>
          <w:color w:val="000000"/>
          <w:sz w:val="20"/>
        </w:rPr>
        <w:t xml:space="preserve">section of the Company's Investor Relations website </w:t>
      </w:r>
      <w:r>
        <w:rPr>
          <w:rFonts w:ascii="Times New Roman;serif" w:hAnsi="Times New Roman;serif"/>
          <w:b w:val="false"/>
          <w:color w:val="0E32E1"/>
          <w:sz w:val="20"/>
        </w:rPr>
        <w:t>www.supernus.com/investors</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Participants may also pre-register any time before the call here. Once registration is completed, participants will be provided a dial-in number with a personalized conference code to access the call. Please dial in 15 minutes prior to the start time.</w:t>
      </w:r>
    </w:p>
    <w:p>
      <w:pPr>
        <w:pStyle w:val="TextBody"/>
        <w:bidi w:val="0"/>
        <w:spacing w:lineRule="auto" w:line="288" w:before="200" w:after="283"/>
        <w:jc w:val="both"/>
        <w:rPr/>
      </w:pPr>
      <w:r>
        <w:rPr>
          <w:rFonts w:ascii="Times New Roman;serif" w:hAnsi="Times New Roman;serif"/>
          <w:b w:val="false"/>
          <w:color w:val="000000"/>
          <w:sz w:val="20"/>
        </w:rPr>
        <w:t xml:space="preserve">Following the live call, a replay will be available on the Company's Investor Relations website </w:t>
      </w:r>
      <w:r>
        <w:rPr>
          <w:rFonts w:ascii="Times New Roman;serif" w:hAnsi="Times New Roman;serif"/>
          <w:b w:val="false"/>
          <w:color w:val="0E32E1"/>
          <w:sz w:val="20"/>
        </w:rPr>
        <w:t>www.supernus.com/investors</w:t>
      </w:r>
      <w:r>
        <w:rPr>
          <w:rFonts w:ascii="Times New Roman;serif" w:hAnsi="Times New Roman;serif"/>
          <w:b w:val="false"/>
          <w:color w:val="000000"/>
          <w:sz w:val="20"/>
        </w:rPr>
        <w:t>. The webcast will be available on the Company's website for 60 days following the live call.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About Supernus Pharmaceuticals, Inc.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Supernus Pharmaceuticals is a biopharmaceutical company focused on developing and commercializing products for the treatment of central nervous system (CNS) diseases.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We are developing a broad range of novel product candidates for CNS disorders.</w:t>
      </w:r>
    </w:p>
    <w:p>
      <w:pPr>
        <w:pStyle w:val="TextBody"/>
        <w:bidi w:val="0"/>
        <w:spacing w:lineRule="auto" w:line="288" w:before="200" w:after="283"/>
        <w:jc w:val="both"/>
        <w:rPr/>
      </w:pPr>
      <w:r>
        <w:rPr>
          <w:rFonts w:ascii="Times New Roman;serif" w:hAnsi="Times New Roman;serif"/>
          <w:b w:val="false"/>
          <w:color w:val="000000"/>
          <w:sz w:val="20"/>
        </w:rPr>
        <w:t xml:space="preserve">For more information, please visit </w:t>
      </w:r>
      <w:r>
        <w:rPr>
          <w:rFonts w:ascii="Times New Roman;serif" w:hAnsi="Times New Roman;serif"/>
          <w:b w:val="false"/>
          <w:color w:val="0E32E1"/>
          <w:sz w:val="20"/>
        </w:rPr>
        <w:t>www.supernus.com</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forward-looking statements within the meaning of the Private Securities Litigation Reform Act of 1995. These statements do not convey historical information but relate to predicted or potential future events that are based upon management's current expectations. These statements are subject to risks and uncertainties that could cause actual results to differ materially from those expressed or implied by such statements. In addition to the factors mentioned in this press release, such risks and uncertainties include, but are not limited to, the Company's ability to sustain and increase its profitability; the Company's ability to raise sufficient capital to fully implement its corporate strategy; the implementation of the Company's corporate strategy; the Company's future financial performance and projected expenditures; the Company's ability to increase the number of prescriptions written for each of its products, and the products of its subsidiaries; the Company's ability to increase its net revenue from its products, and the products of its subsidiaries; the Company's ability to commercialize its products, and the products of its subsidiaries; the Company's ability to enter into future collaborations with pharmaceutical companies and academic institutions or to obtain funding from government agencies; the Company's product research and development activities, including the timing and progress of the Company's clinical trials, and projected expenditures; the Company's ability to receive, and the timing of any receipt of, regulatory approvals to develop and commercialize the Company's product candidates; the Company's ability to protect its intellectual property and the intellectual property of its subsidiaries and operate its business without infringing upon the intellectual property rights of others; the Company's expectations regarding federal, state and foreign regulatory requirements; the therapeutic benefits, effectiveness and safety of the Company's product candidates; the accuracy of the Company's estimates of the size and characteristics of the markets that may be addressed by its product candidates; the Company's ability to increase its manufacturing capabilities for its products and product candidates; the Company's projected markets and growth in markets; the Company's product formulations and patient needs and potential funding sources; the Company's staffing needs; changes to laws and regulations applicable to our industry, the impact of macroeconomic factors, such as economic downturns or uncertainty, international conflict, trade disputes and tariffs; and other risk factors set forth from time to time in the Company's filings with the Securities and Exchange Commission made pursuant to Section 13 or 15(d) of the Securities Exchange Act of 1934, as amended. The Company undertakes no obligation to update the information in this press release to reflect events or circumstances after the date hereof or to reflect the occurrence of anticipated or unanticipated events.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ind w:left="0" w:right="0" w:firstLine="7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tbl>
      <w:tblPr>
        <w:tblW w:w="10205" w:type="dxa"/>
        <w:jc w:val="center"/>
        <w:tblInd w:w="0" w:type="dxa"/>
        <w:tblLayout w:type="fixed"/>
        <w:tblCellMar>
          <w:top w:w="28" w:type="dxa"/>
          <w:left w:w="28" w:type="dxa"/>
          <w:bottom w:w="28" w:type="dxa"/>
          <w:right w:w="28" w:type="dxa"/>
        </w:tblCellMar>
      </w:tblPr>
      <w:tblGrid>
        <w:gridCol w:w="2709"/>
        <w:gridCol w:w="2240"/>
        <w:gridCol w:w="2182"/>
        <w:gridCol w:w="211"/>
        <w:gridCol w:w="976"/>
        <w:gridCol w:w="109"/>
        <w:gridCol w:w="109"/>
        <w:gridCol w:w="109"/>
        <w:gridCol w:w="109"/>
        <w:gridCol w:w="211"/>
        <w:gridCol w:w="976"/>
        <w:gridCol w:w="109"/>
        <w:gridCol w:w="155"/>
      </w:tblGrid>
      <w:tr>
        <w:trPr/>
        <w:tc>
          <w:tcPr>
            <w:tcW w:w="270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 and rebates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long-term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130,000,000 shares authorized; 58,039,721 and 57,457,462 shares issued and outstanding as of March 31,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1,500,725 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Statements of Loss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tbl>
      <w:tblPr>
        <w:tblW w:w="6037" w:type="dxa"/>
        <w:jc w:val="center"/>
        <w:tblInd w:w="0" w:type="dxa"/>
        <w:tblLayout w:type="fixed"/>
        <w:tblCellMar>
          <w:top w:w="28" w:type="dxa"/>
          <w:left w:w="28" w:type="dxa"/>
          <w:bottom w:w="28" w:type="dxa"/>
          <w:right w:w="28" w:type="dxa"/>
        </w:tblCellMar>
      </w:tblPr>
      <w:tblGrid>
        <w:gridCol w:w="1191"/>
        <w:gridCol w:w="1043"/>
        <w:gridCol w:w="1051"/>
        <w:gridCol w:w="219"/>
        <w:gridCol w:w="862"/>
        <w:gridCol w:w="109"/>
        <w:gridCol w:w="109"/>
        <w:gridCol w:w="109"/>
        <w:gridCol w:w="109"/>
        <w:gridCol w:w="219"/>
        <w:gridCol w:w="862"/>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revenues</w:t>
            </w:r>
            <w:r>
              <w:rPr>
                <w:rFonts w:ascii="Times New Roman;serif" w:hAnsi="Times New Roman;serif"/>
                <w:b w:val="false"/>
                <w:color w:val="000000"/>
                <w:sz w:val="13"/>
              </w:rPr>
              <w:t>(a)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and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income (expense), net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57,647,548 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55,864,692 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57,647,548 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55,864,692 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Excludes amortization of intangible assets.</w:t>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Reconciliations of GAAP to Non-GAAP Financial Information</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Reconciliation of GAAP Total revenues to Non-GAAP Total revenues excluding Trokendi XR and Oxtellar XR net sales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 itemized reconciliation between total revenues on a GAAP basis and total revenues excluding Trokendi XR and Oxtellar XR net sales, a non-GAAP measure, is as follows (dollars in millions):</w:t>
      </w:r>
    </w:p>
    <w:tbl>
      <w:tblPr>
        <w:tblW w:w="10011" w:type="dxa"/>
        <w:jc w:val="left"/>
        <w:tblInd w:w="0" w:type="dxa"/>
        <w:tblLayout w:type="fixed"/>
        <w:tblCellMar>
          <w:top w:w="28" w:type="dxa"/>
          <w:left w:w="28" w:type="dxa"/>
          <w:bottom w:w="28" w:type="dxa"/>
          <w:right w:w="28" w:type="dxa"/>
        </w:tblCellMar>
      </w:tblPr>
      <w:tblGrid>
        <w:gridCol w:w="2332"/>
        <w:gridCol w:w="2054"/>
        <w:gridCol w:w="2064"/>
        <w:gridCol w:w="211"/>
        <w:gridCol w:w="616"/>
        <w:gridCol w:w="109"/>
        <w:gridCol w:w="109"/>
        <w:gridCol w:w="109"/>
        <w:gridCol w:w="109"/>
        <w:gridCol w:w="211"/>
        <w:gridCol w:w="616"/>
        <w:gridCol w:w="109"/>
        <w:gridCol w:w="109"/>
        <w:gridCol w:w="109"/>
        <w:gridCol w:w="109"/>
        <w:gridCol w:w="303"/>
        <w:gridCol w:w="303"/>
        <w:gridCol w:w="429"/>
      </w:tblGrid>
      <w:tr>
        <w:trPr/>
        <w:tc>
          <w:tcPr>
            <w:tcW w:w="2332"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revenues (GAAP)</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Trokendi XR net product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Oxtellar XR net product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 excluding Trokendi XR and Oxtellar XR net sales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Includes net product sales, collaboration revenue, and royalty, licensing, and other revenues.</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Reconciliation of GAAP Net Product Sales to Non-GAAP Revenues from Commercial Products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An itemized reconciliation between Net product sales on a GAAP basis and total revenues from commercial products, a non-GAAP measure, is as follows (dollars in millions):</w:t>
      </w:r>
    </w:p>
    <w:tbl>
      <w:tblPr>
        <w:tblW w:w="7041" w:type="dxa"/>
        <w:jc w:val="left"/>
        <w:tblInd w:w="0" w:type="dxa"/>
        <w:tblLayout w:type="fixed"/>
        <w:tblCellMar>
          <w:top w:w="28" w:type="dxa"/>
          <w:left w:w="28" w:type="dxa"/>
          <w:bottom w:w="28" w:type="dxa"/>
          <w:right w:w="28" w:type="dxa"/>
        </w:tblCellMar>
      </w:tblPr>
      <w:tblGrid>
        <w:gridCol w:w="1260"/>
        <w:gridCol w:w="1107"/>
        <w:gridCol w:w="1113"/>
        <w:gridCol w:w="211"/>
        <w:gridCol w:w="616"/>
        <w:gridCol w:w="109"/>
        <w:gridCol w:w="109"/>
        <w:gridCol w:w="109"/>
        <w:gridCol w:w="109"/>
        <w:gridCol w:w="211"/>
        <w:gridCol w:w="616"/>
        <w:gridCol w:w="109"/>
        <w:gridCol w:w="109"/>
        <w:gridCol w:w="109"/>
        <w:gridCol w:w="109"/>
        <w:gridCol w:w="303"/>
        <w:gridCol w:w="303"/>
        <w:gridCol w:w="429"/>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product sales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 from commercial products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bl>
    <w:p>
      <w:pPr>
        <w:pStyle w:val="TextBody"/>
        <w:bidi w:val="0"/>
        <w:spacing w:lineRule="auto" w:line="288" w:before="200" w:after="200"/>
        <w:jc w:val="both"/>
        <w:rPr/>
      </w:pPr>
      <w:r>
        <w:rPr>
          <w:rFonts w:ascii="Times New Roman;serif" w:hAnsi="Times New Roman;serif"/>
          <w:b w:val="false"/>
          <w:color w:val="000000"/>
          <w:sz w:val="20"/>
        </w:rPr>
        <w:t>Total revenues from commercial products, a non-GAAP measure, represents</w:t>
      </w:r>
      <w:r>
        <w:rPr>
          <w:color w:val="000000"/>
        </w:rPr>
        <w:t xml:space="preserve"> </w:t>
      </w:r>
      <w:r>
        <w:rPr>
          <w:rFonts w:ascii="Times New Roman;serif" w:hAnsi="Times New Roman;serif"/>
          <w:b w:val="false"/>
          <w:color w:val="000000"/>
          <w:sz w:val="20"/>
        </w:rPr>
        <w:t>revenues from our product sales to customers and through our collaboration agreement with Biogen.</w:t>
      </w:r>
      <w:r>
        <w:rPr>
          <w:color w:val="000000"/>
        </w:rPr>
        <w:t xml:space="preserve"> </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Reconciliation of GAAP Operating Earnings (Loss) to Non-GAAP Adjusted Operating Earnings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An itemized reconciliation between operating earnings (loss) on a GAAP basis and adjusted operating earnings on a non-GAAP basis is as follows (dollars in millions):</w:t>
      </w:r>
    </w:p>
    <w:tbl>
      <w:tblPr>
        <w:tblW w:w="6099" w:type="dxa"/>
        <w:jc w:val="left"/>
        <w:tblInd w:w="0" w:type="dxa"/>
        <w:tblLayout w:type="fixed"/>
        <w:tblCellMar>
          <w:top w:w="28" w:type="dxa"/>
          <w:left w:w="28" w:type="dxa"/>
          <w:bottom w:w="28" w:type="dxa"/>
          <w:right w:w="28" w:type="dxa"/>
        </w:tblCellMar>
      </w:tblPr>
      <w:tblGrid>
        <w:gridCol w:w="1446"/>
        <w:gridCol w:w="1268"/>
        <w:gridCol w:w="1276"/>
        <w:gridCol w:w="211"/>
        <w:gridCol w:w="511"/>
        <w:gridCol w:w="109"/>
        <w:gridCol w:w="109"/>
        <w:gridCol w:w="109"/>
        <w:gridCol w:w="109"/>
        <w:gridCol w:w="211"/>
        <w:gridCol w:w="586"/>
        <w:gridCol w:w="154"/>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 As Reported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loss (gain)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 As Adjusted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Non-GAAP adjusted operating earnings adjusts for non-cash items, which include amortization of intangible assets, share-based compensation expense, change in fair value of contingent consideration, and depreciation. </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Reconciliation of Full Year 2026 Financial Guidance - GAAP Operating Earnings to Non-GAAP Adjusted Operating Earnings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An itemized reconciliation between projected operating earnings on a GAAP basis for the full year 2026 and projected adjusted operating earnings on a non-GAAP basis for the full year 2026 is as follows (dollars in millions):</w:t>
      </w:r>
    </w:p>
    <w:tbl>
      <w:tblPr>
        <w:tblW w:w="6596" w:type="dxa"/>
        <w:jc w:val="left"/>
        <w:tblInd w:w="0" w:type="dxa"/>
        <w:tblLayout w:type="fixed"/>
        <w:tblCellMar>
          <w:top w:w="28" w:type="dxa"/>
          <w:left w:w="28" w:type="dxa"/>
          <w:bottom w:w="28" w:type="dxa"/>
          <w:right w:w="28" w:type="dxa"/>
        </w:tblCellMar>
      </w:tblPr>
      <w:tblGrid>
        <w:gridCol w:w="1446"/>
        <w:gridCol w:w="1268"/>
        <w:gridCol w:w="1276"/>
        <w:gridCol w:w="109"/>
        <w:gridCol w:w="109"/>
        <w:gridCol w:w="109"/>
        <w:gridCol w:w="666"/>
        <w:gridCol w:w="666"/>
        <w:gridCol w:w="947"/>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Full Year 2026 Guidance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February 24, 2026)</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earnings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$0 - $30</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 As Adjusted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$140 - $170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Jack A. Khattar, President and CEO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Timothy C. Dec, Senior Vice President and CFO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Supernus Pharmaceuticals,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(301) 838-2591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Peter Vozzo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ICR Healthcare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(443) 213-0505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peter.vozzo@icrhealthcare.com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3896</Words>
  <Characters>22481</Characters>
  <CharactersWithSpaces>26066</CharactersWithSpaces>
  <Paragraphs>512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