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6"/>
          <w:szCs w:val="16"/>
          <w:b w:val="1"/>
          <w:bCs w:val="1"/>
          <w:color w:val="auto"/>
        </w:rPr>
        <w:t>June 18, 2026</w:t>
      </w:r>
    </w:p>
    <w:p>
      <w:pPr>
        <w:spacing w:after="0" w:line="21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Supernus Pharmaceuticals, Inc.</w:t>
      </w:r>
    </w:p>
    <w:p>
      <w:pPr>
        <w:spacing w:after="0" w:line="282"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402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00" w:type="dxa"/>
            <w:vAlign w:val="bottom"/>
          </w:tcPr>
          <w:p>
            <w:pPr>
              <w:spacing w:after="0"/>
              <w:rPr>
                <w:sz w:val="24"/>
                <w:szCs w:val="24"/>
                <w:color w:val="auto"/>
              </w:rPr>
            </w:pPr>
          </w:p>
        </w:tc>
        <w:tc>
          <w:tcPr>
            <w:tcW w:w="2520" w:type="dxa"/>
            <w:vAlign w:val="bottom"/>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9"/>
              </w:rPr>
              <w:t>001-35518</w:t>
            </w:r>
          </w:p>
        </w:tc>
        <w:tc>
          <w:tcPr>
            <w:tcW w:w="28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20-2590184</w:t>
            </w:r>
          </w:p>
        </w:tc>
        <w:tc>
          <w:tcPr>
            <w:tcW w:w="0" w:type="dxa"/>
            <w:vAlign w:val="bottom"/>
          </w:tcPr>
          <w:p>
            <w:pPr>
              <w:spacing w:after="0"/>
              <w:rPr>
                <w:sz w:val="1"/>
                <w:szCs w:val="1"/>
                <w:color w:val="auto"/>
              </w:rPr>
            </w:pPr>
          </w:p>
        </w:tc>
      </w:tr>
      <w:tr>
        <w:trPr>
          <w:trHeight w:val="180"/>
        </w:trPr>
        <w:tc>
          <w:tcPr>
            <w:tcW w:w="33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4020" w:type="dxa"/>
            <w:vAlign w:val="bottom"/>
            <w:gridSpan w:val="2"/>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rPr>
              <w:t>(Commission File Number)</w:t>
            </w:r>
          </w:p>
        </w:tc>
        <w:tc>
          <w:tcPr>
            <w:tcW w:w="2860" w:type="dxa"/>
            <w:vAlign w:val="bottom"/>
          </w:tcPr>
          <w:p>
            <w:pPr>
              <w:jc w:val="center"/>
              <w:ind w:left="150"/>
              <w:spacing w:after="0" w:line="181"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organization)</w:t>
            </w:r>
          </w:p>
        </w:tc>
        <w:tc>
          <w:tcPr>
            <w:tcW w:w="4020" w:type="dxa"/>
            <w:vAlign w:val="bottom"/>
            <w:gridSpan w:val="2"/>
            <w:vMerge w:val="continue"/>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9715 Key West Ave</w:t>
            </w:r>
          </w:p>
        </w:tc>
        <w:tc>
          <w:tcPr>
            <w:tcW w:w="15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Rockville</w:t>
            </w:r>
          </w:p>
        </w:tc>
        <w:tc>
          <w:tcPr>
            <w:tcW w:w="252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MD</w:t>
            </w:r>
          </w:p>
        </w:tc>
        <w:tc>
          <w:tcPr>
            <w:tcW w:w="28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20850</w:t>
            </w:r>
          </w:p>
        </w:tc>
        <w:tc>
          <w:tcPr>
            <w:tcW w:w="0" w:type="dxa"/>
            <w:vAlign w:val="bottom"/>
          </w:tcPr>
          <w:p>
            <w:pPr>
              <w:spacing w:after="0"/>
              <w:rPr>
                <w:sz w:val="1"/>
                <w:szCs w:val="1"/>
                <w:color w:val="auto"/>
              </w:rPr>
            </w:pPr>
          </w:p>
        </w:tc>
      </w:tr>
      <w:tr>
        <w:trPr>
          <w:trHeight w:val="234"/>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8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bl>
    <w:p>
      <w:pPr>
        <w:spacing w:after="0" w:line="3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(301) 838-2500</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tbl>
      <w:tblPr>
        <w:tblLayout w:type="fixed"/>
        <w:tblInd w:w="100" w:type="dxa"/>
        <w:tblCellMar>
          <w:top w:w="0" w:type="dxa"/>
          <w:left w:w="0" w:type="dxa"/>
          <w:bottom w:w="0" w:type="dxa"/>
          <w:right w:w="0" w:type="dxa"/>
        </w:tblCellMar>
      </w:tblPr>
      <w:tr>
        <w:trPr>
          <w:trHeight w:val="234"/>
        </w:trPr>
        <w:tc>
          <w:tcPr>
            <w:tcW w:w="6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tc>
        <w:tc>
          <w:tcPr>
            <w:tcW w:w="3200" w:type="dxa"/>
            <w:vAlign w:val="bottom"/>
          </w:tcPr>
          <w:p>
            <w:pPr>
              <w:spacing w:after="0"/>
              <w:rPr>
                <w:sz w:val="20"/>
                <w:szCs w:val="20"/>
                <w:color w:val="auto"/>
              </w:rPr>
            </w:pPr>
          </w:p>
        </w:tc>
      </w:tr>
      <w:tr>
        <w:trPr>
          <w:trHeight w:val="230"/>
        </w:trPr>
        <w:tc>
          <w:tcPr>
            <w:tcW w:w="1340" w:type="dxa"/>
            <w:vAlign w:val="bottom"/>
          </w:tcPr>
          <w:p>
            <w:pPr>
              <w:spacing w:after="0"/>
              <w:rPr>
                <w:sz w:val="19"/>
                <w:szCs w:val="19"/>
                <w:color w:val="auto"/>
              </w:rPr>
            </w:pPr>
          </w:p>
        </w:tc>
        <w:tc>
          <w:tcPr>
            <w:tcW w:w="3000" w:type="dxa"/>
            <w:vAlign w:val="bottom"/>
            <w:gridSpan w:val="2"/>
          </w:tcPr>
          <w:p>
            <w:pPr>
              <w:jc w:val="center"/>
              <w:ind w:right="172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02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rPr>
              <w:t>Trading Symbol</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64"/>
        </w:trPr>
        <w:tc>
          <w:tcPr>
            <w:tcW w:w="43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02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SUPN</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1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20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8"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44"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44"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4" w:lineRule="exact"/>
        <w:rPr>
          <w:sz w:val="24"/>
          <w:szCs w:val="24"/>
          <w:color w:val="auto"/>
        </w:rPr>
      </w:pPr>
    </w:p>
    <w:p>
      <w:pPr>
        <w:ind w:right="360"/>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21"/>
          <w:szCs w:val="21"/>
          <w:color w:val="auto"/>
        </w:rPr>
        <w:t>☐</w:t>
      </w:r>
    </w:p>
    <w:p>
      <w:pPr>
        <w:spacing w:after="0" w:line="154" w:lineRule="exact"/>
        <w:rPr>
          <w:sz w:val="24"/>
          <w:szCs w:val="24"/>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799465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80"/>
          </w:cols>
          <w:pgMar w:left="320" w:top="1186" w:right="499" w:bottom="1440" w:gutter="0" w:footer="0" w:header="0"/>
        </w:sectPr>
      </w:pPr>
    </w:p>
    <w:bookmarkStart w:id="1" w:name="page2"/>
    <w:bookmarkEnd w:id="1"/>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On June 18, 2026 Supernus Pharmaceuticals, Inc. (the “Company”) held its annual meeting of stockholders (the “Annual Meeting”). The definitive proxy statement pertaining to the Annual Meeting was previously filed by the Company with the Securities and Exchange Commission on April 30, 2026. As of the close of business on April 29, 2026, there were 58,039,721 shares of common stock outstanding and entitled to vote. The tabulation of votes for each proposal voted on by the stockholders was as follows: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1: Election of Class I Directors, each to serve until the Annual Meeting of the Company in 2029.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0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0"/>
        </w:trPr>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Frederick M. Hudson</w:t>
            </w:r>
          </w:p>
        </w:tc>
        <w:tc>
          <w:tcPr>
            <w:tcW w:w="12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45,058,634</w:t>
            </w:r>
          </w:p>
        </w:tc>
        <w:tc>
          <w:tcPr>
            <w:tcW w:w="12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2,177,068</w:t>
            </w:r>
          </w:p>
        </w:tc>
        <w:tc>
          <w:tcPr>
            <w:tcW w:w="18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3,073,181</w:t>
            </w:r>
          </w:p>
        </w:tc>
      </w:tr>
      <w:tr>
        <w:trPr>
          <w:trHeight w:val="256"/>
        </w:trPr>
        <w:tc>
          <w:tcPr>
            <w:tcW w:w="28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Charles W. Newhall, III</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41,743,154</w:t>
            </w:r>
          </w:p>
        </w:tc>
        <w:tc>
          <w:tcPr>
            <w:tcW w:w="120" w:type="dxa"/>
            <w:vAlign w:val="bottom"/>
          </w:tcPr>
          <w:p>
            <w:pPr>
              <w:spacing w:after="0"/>
              <w:rPr>
                <w:sz w:val="22"/>
                <w:szCs w:val="22"/>
                <w:color w:val="auto"/>
              </w:rPr>
            </w:pPr>
          </w:p>
        </w:tc>
        <w:tc>
          <w:tcPr>
            <w:tcW w:w="26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5,492,548</w:t>
            </w:r>
          </w:p>
        </w:tc>
        <w:tc>
          <w:tcPr>
            <w:tcW w:w="180" w:type="dxa"/>
            <w:vAlign w:val="bottom"/>
          </w:tcPr>
          <w:p>
            <w:pPr>
              <w:spacing w:after="0"/>
              <w:rPr>
                <w:sz w:val="22"/>
                <w:szCs w:val="22"/>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3,073,181</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2: To approve, on a non-binding basis, the compensation paid to our named executive officers.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28"/>
        </w:trPr>
        <w:tc>
          <w:tcPr>
            <w:tcW w:w="292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45,552,633</w:t>
            </w: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1,675,355</w:t>
            </w:r>
          </w:p>
        </w:tc>
        <w:tc>
          <w:tcPr>
            <w:tcW w:w="140" w:type="dxa"/>
            <w:vAlign w:val="bottom"/>
            <w:shd w:val="clear" w:color="auto" w:fill="CCEEFF"/>
          </w:tcPr>
          <w:p>
            <w:pPr>
              <w:spacing w:after="0"/>
              <w:rPr>
                <w:sz w:val="19"/>
                <w:szCs w:val="19"/>
                <w:color w:val="auto"/>
              </w:rPr>
            </w:pPr>
          </w:p>
        </w:tc>
        <w:tc>
          <w:tcPr>
            <w:tcW w:w="250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7,714</w:t>
            </w:r>
          </w:p>
        </w:tc>
        <w:tc>
          <w:tcPr>
            <w:tcW w:w="100" w:type="dxa"/>
            <w:vAlign w:val="bottom"/>
            <w:shd w:val="clear" w:color="auto" w:fill="CCEEFF"/>
          </w:tcPr>
          <w:p>
            <w:pPr>
              <w:spacing w:after="0"/>
              <w:rPr>
                <w:sz w:val="19"/>
                <w:szCs w:val="19"/>
                <w:color w:val="auto"/>
              </w:rPr>
            </w:pPr>
          </w:p>
        </w:tc>
        <w:tc>
          <w:tcPr>
            <w:tcW w:w="284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3,073,181</w:t>
            </w:r>
          </w:p>
        </w:tc>
      </w:tr>
      <w:tr>
        <w:trPr>
          <w:trHeight w:val="22"/>
        </w:trPr>
        <w:tc>
          <w:tcPr>
            <w:tcW w:w="2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r>
    </w:tbl>
    <w:p>
      <w:pPr>
        <w:spacing w:after="0" w:line="319" w:lineRule="exact"/>
        <w:rPr>
          <w:sz w:val="20"/>
          <w:szCs w:val="20"/>
          <w:color w:val="auto"/>
        </w:rPr>
      </w:pPr>
    </w:p>
    <w:p>
      <w:pPr>
        <w:jc w:val="both"/>
        <w:ind w:right="40"/>
        <w:spacing w:after="0" w:line="271" w:lineRule="auto"/>
        <w:rPr>
          <w:sz w:val="20"/>
          <w:szCs w:val="20"/>
          <w:color w:val="auto"/>
        </w:rPr>
      </w:pPr>
      <w:r>
        <w:rPr>
          <w:rFonts w:ascii="Times New Roman" w:cs="Times New Roman" w:eastAsia="Times New Roman" w:hAnsi="Times New Roman"/>
          <w:sz w:val="18"/>
          <w:szCs w:val="18"/>
          <w:color w:val="auto"/>
        </w:rPr>
        <w:t>Proposal 3: Ratification of the appointment of KPMG LLP as the Company’s independent public accounting firm for the fiscal year ending December 31, 2026.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2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r>
        <w:trPr>
          <w:trHeight w:val="228"/>
        </w:trPr>
        <w:tc>
          <w:tcPr>
            <w:tcW w:w="292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49,882,228</w:t>
            </w: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417,336</w:t>
            </w: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9,319</w:t>
            </w:r>
          </w:p>
        </w:tc>
        <w:tc>
          <w:tcPr>
            <w:tcW w:w="100" w:type="dxa"/>
            <w:vAlign w:val="bottom"/>
            <w:shd w:val="clear" w:color="auto" w:fill="CCEEFF"/>
          </w:tcPr>
          <w:p>
            <w:pPr>
              <w:spacing w:after="0"/>
              <w:rPr>
                <w:sz w:val="19"/>
                <w:szCs w:val="19"/>
                <w:color w:val="auto"/>
              </w:rPr>
            </w:pPr>
          </w:p>
        </w:tc>
        <w:tc>
          <w:tcPr>
            <w:tcW w:w="276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0</w:t>
            </w:r>
          </w:p>
        </w:tc>
      </w:tr>
      <w:tr>
        <w:trPr>
          <w:trHeight w:val="22"/>
        </w:trPr>
        <w:tc>
          <w:tcPr>
            <w:tcW w:w="2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r>
    </w:tbl>
    <w:p>
      <w:pPr>
        <w:spacing w:after="0" w:line="292"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Proposal 4: To act upon a proposal to amend the Supernus Pharmaceuticals, Inc. 2021 Equity Incentive Plan (the “Plan”) to increase the number of shares available under the Plan.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2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r>
        <w:trPr>
          <w:trHeight w:val="230"/>
        </w:trPr>
        <w:tc>
          <w:tcPr>
            <w:tcW w:w="226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41,925,692</w:t>
            </w: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8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5,302,088</w:t>
            </w:r>
          </w:p>
        </w:tc>
        <w:tc>
          <w:tcPr>
            <w:tcW w:w="12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7,922</w:t>
            </w:r>
          </w:p>
        </w:tc>
        <w:tc>
          <w:tcPr>
            <w:tcW w:w="100" w:type="dxa"/>
            <w:vAlign w:val="bottom"/>
            <w:tcBorders>
              <w:bottom w:val="single" w:sz="8" w:color="CCEEFF"/>
            </w:tcBorders>
            <w:shd w:val="clear" w:color="auto" w:fill="CCEEFF"/>
          </w:tcPr>
          <w:p>
            <w:pPr>
              <w:spacing w:after="0"/>
              <w:rPr>
                <w:sz w:val="20"/>
                <w:szCs w:val="20"/>
                <w:color w:val="auto"/>
              </w:rPr>
            </w:pPr>
          </w:p>
        </w:tc>
        <w:tc>
          <w:tcPr>
            <w:tcW w:w="276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3,073,181</w:t>
            </w:r>
          </w:p>
        </w:tc>
      </w:tr>
      <w:tr>
        <w:trPr>
          <w:trHeight w:val="554"/>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338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r>
    </w:tbl>
    <w:p>
      <w:pPr>
        <w:spacing w:after="0" w:line="198" w:lineRule="exact"/>
        <w:rPr>
          <w:sz w:val="20"/>
          <w:szCs w:val="20"/>
          <w:color w:val="auto"/>
        </w:rPr>
      </w:pPr>
    </w:p>
    <w:p>
      <w:pPr>
        <w:ind w:left="660"/>
        <w:spacing w:after="0"/>
        <w:tabs>
          <w:tab w:leader="none" w:pos="228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Exhibit 104 — The cover page from this Current Report on Form 8-K, formatted in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87" w:right="45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34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SUPERNUS PHARMACEUTICALS, INC.</w:t>
            </w:r>
          </w:p>
        </w:tc>
      </w:tr>
      <w:tr>
        <w:trPr>
          <w:trHeight w:val="45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June 18, 2026</w:t>
            </w:r>
          </w:p>
        </w:tc>
        <w:tc>
          <w:tcPr>
            <w:tcW w:w="734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   /s/ Timothy C. Dec</w:t>
            </w:r>
          </w:p>
        </w:tc>
      </w:tr>
      <w:tr>
        <w:trPr>
          <w:trHeight w:val="218"/>
        </w:trPr>
        <w:tc>
          <w:tcPr>
            <w:tcW w:w="36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Timothy C. Dec</w:t>
            </w:r>
          </w:p>
        </w:tc>
      </w:tr>
      <w:tr>
        <w:trPr>
          <w:trHeight w:val="234"/>
        </w:trPr>
        <w:tc>
          <w:tcPr>
            <w:tcW w:w="3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020"/>
      </w:cols>
      <w:pgMar w:left="320" w:top="88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2026-06-18T15:59:10Z</dcterms:created>
  <dcterms:modified xsi:type="dcterms:W3CDTF">2026-06-18T15:59:10Z</dcterms:modified>
</cp:coreProperties>
</file>