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1908.xml.htm"/>
      <w:bookmarkStart w:id="1" w:name="kswkform4_17867419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Rubin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SUPERNUS PHARMACEUTICALS, INC.,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9715 KEY WEST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SUPERNUS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46.57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13,979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251 shares acquired by the Reporting Person through the Issuer's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of common stock withheld by the Company to satisfy tax withholding requirements in connection with the vesting of Performance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19, 2025, the Reporting Person was awarded Performance Share Units, a portion of which vested upon the achievement of individual performance objectives within a defined performance period, which objectives were established on May 3,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C. Dec,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6067" TargetMode="External"/><Relationship Id="rId5" Type="http://schemas.openxmlformats.org/officeDocument/2006/relationships/hyperlink" Target="http://www.sec.gov/cgi-bin/browse-edgar?action=getcompany&amp;CIK=00013565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3689</Characters>
  <CharactersWithSpaces>4276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