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9" w:lineRule="exact"/>
        <w:rPr>
          <w:sz w:val="24"/>
          <w:szCs w:val="24"/>
          <w:color w:val="auto"/>
        </w:rPr>
      </w:pPr>
    </w:p>
    <w:p>
      <w:pPr>
        <w:ind w:left="880" w:right="600" w:hanging="530"/>
        <w:spacing w:after="0" w:line="238" w:lineRule="auto"/>
        <w:tabs>
          <w:tab w:leader="none" w:pos="8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 xml:space="preserve">FOR THE FISCAL YEAR ENDED </w:t>
      </w:r>
      <w:r>
        <w:rPr>
          <w:rFonts w:ascii="Times New Roman" w:cs="Times New Roman" w:eastAsia="Times New Roman" w:hAnsi="Times New Roman"/>
          <w:sz w:val="17"/>
          <w:szCs w:val="17"/>
          <w:b w:val="1"/>
          <w:bCs w:val="1"/>
          <w:color w:val="auto"/>
        </w:rPr>
        <w:t>December 31, 2024</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7" w:lineRule="exact"/>
        <w:rPr>
          <w:sz w:val="24"/>
          <w:szCs w:val="24"/>
          <w:color w:val="auto"/>
        </w:rPr>
      </w:pPr>
    </w:p>
    <w:p>
      <w:pPr>
        <w:ind w:left="880" w:right="360" w:hanging="530"/>
        <w:spacing w:after="0" w:line="238" w:lineRule="auto"/>
        <w:tabs>
          <w:tab w:leader="none" w:pos="8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TRANSMISSION REPORT PURSUANT TO SECTION 13 OR 15(d) OF THE SECURITIES EXCHANGE ACT OF 1934</w:t>
      </w:r>
    </w:p>
    <w:p>
      <w:pPr>
        <w:spacing w:after="0" w:line="139" w:lineRule="exact"/>
        <w:rPr>
          <w:sz w:val="24"/>
          <w:szCs w:val="24"/>
          <w:color w:val="auto"/>
        </w:rPr>
      </w:pPr>
    </w:p>
    <w:p>
      <w:pPr>
        <w:ind w:left="3320"/>
        <w:spacing w:after="0"/>
        <w:tabs>
          <w:tab w:leader="none" w:pos="72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COMMISSION FILE NUMBER: 001-35518</w:t>
      </w:r>
    </w:p>
    <w:p>
      <w:pPr>
        <w:spacing w:after="0" w:line="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SUPERNUS PHARMACEUTICALS, INC.</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3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540" w:type="dxa"/>
            <w:vAlign w:val="bottom"/>
          </w:tcPr>
          <w:p>
            <w:pPr>
              <w:jc w:val="right"/>
              <w:ind w:right="1208"/>
              <w:spacing w:after="0"/>
              <w:rPr>
                <w:sz w:val="20"/>
                <w:szCs w:val="20"/>
                <w:color w:val="auto"/>
              </w:rPr>
            </w:pPr>
            <w:r>
              <w:rPr>
                <w:rFonts w:ascii="Times New Roman" w:cs="Times New Roman" w:eastAsia="Times New Roman" w:hAnsi="Times New Roman"/>
                <w:sz w:val="14"/>
                <w:szCs w:val="14"/>
                <w:b w:val="1"/>
                <w:bCs w:val="1"/>
                <w:color w:val="auto"/>
              </w:rPr>
              <w:t>20-2590184</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31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5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Identification Number)</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1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9715 Key West Avenue</w:t>
            </w:r>
          </w:p>
        </w:tc>
        <w:tc>
          <w:tcPr>
            <w:tcW w:w="20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Rockville</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MD</w:t>
            </w:r>
          </w:p>
        </w:tc>
        <w:tc>
          <w:tcPr>
            <w:tcW w:w="3540" w:type="dxa"/>
            <w:vAlign w:val="bottom"/>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20850</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5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40" w:type="dxa"/>
            <w:vAlign w:val="bottom"/>
            <w:gridSpan w:val="3"/>
          </w:tcPr>
          <w:p>
            <w:pPr>
              <w:jc w:val="right"/>
              <w:ind w:right="1388"/>
              <w:spacing w:after="0"/>
              <w:rPr>
                <w:sz w:val="20"/>
                <w:szCs w:val="20"/>
                <w:color w:val="auto"/>
              </w:rPr>
            </w:pPr>
            <w:r>
              <w:rPr>
                <w:rFonts w:ascii="Times New Roman" w:cs="Times New Roman" w:eastAsia="Times New Roman" w:hAnsi="Times New Roman"/>
                <w:sz w:val="14"/>
                <w:szCs w:val="14"/>
                <w:b w:val="1"/>
                <w:bCs w:val="1"/>
                <w:color w:val="auto"/>
              </w:rPr>
              <w:t>(301) 838-2500</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0" w:type="dxa"/>
            <w:vAlign w:val="bottom"/>
            <w:gridSpan w:val="5"/>
          </w:tcPr>
          <w:p>
            <w:pPr>
              <w:jc w:val="center"/>
              <w:ind w:right="30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3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February 18, 2025</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3120" w:type="dxa"/>
            <w:vAlign w:val="bottom"/>
            <w:gridSpan w:val="2"/>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WHICH REGISTERED:</w:t>
            </w: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55,814,496</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SUPN</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c>
          <w:tcPr>
            <w:tcW w:w="0" w:type="dxa"/>
            <w:vAlign w:val="bottom"/>
          </w:tcPr>
          <w:p>
            <w:pPr>
              <w:spacing w:after="0"/>
              <w:rPr>
                <w:sz w:val="1"/>
                <w:szCs w:val="1"/>
                <w:color w:val="auto"/>
              </w:rPr>
            </w:pPr>
          </w:p>
        </w:tc>
      </w:tr>
      <w:tr>
        <w:trPr>
          <w:trHeight w:val="338"/>
        </w:trPr>
        <w:tc>
          <w:tcPr>
            <w:tcW w:w="5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7580" w:type="dxa"/>
            <w:vAlign w:val="bottom"/>
            <w:gridSpan w:val="6"/>
          </w:tcPr>
          <w:p>
            <w:pPr>
              <w:ind w:left="28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5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80" w:type="dxa"/>
            <w:vAlign w:val="bottom"/>
            <w:gridSpan w:val="6"/>
          </w:tcPr>
          <w:p>
            <w:pPr>
              <w:ind w:left="28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54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4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8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60" w:firstLine="32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640" w:type="dxa"/>
        <w:tblCellMar>
          <w:top w:w="0" w:type="dxa"/>
          <w:left w:w="0" w:type="dxa"/>
          <w:bottom w:w="0" w:type="dxa"/>
          <w:right w:w="0" w:type="dxa"/>
        </w:tblCellMar>
      </w:tblPr>
      <w:tr>
        <w:trPr>
          <w:trHeight w:val="199"/>
        </w:trPr>
        <w:tc>
          <w:tcPr>
            <w:tcW w:w="1880" w:type="dxa"/>
            <w:vAlign w:val="bottom"/>
          </w:tcPr>
          <w:p>
            <w:pPr>
              <w:jc w:val="center"/>
              <w:ind w:right="508"/>
              <w:spacing w:after="0"/>
              <w:rPr>
                <w:sz w:val="20"/>
                <w:szCs w:val="20"/>
                <w:color w:val="auto"/>
              </w:rPr>
            </w:pPr>
            <w:r>
              <w:rPr>
                <w:rFonts w:ascii="Times New Roman" w:cs="Times New Roman" w:eastAsia="Times New Roman" w:hAnsi="Times New Roman"/>
                <w:sz w:val="14"/>
                <w:szCs w:val="14"/>
                <w:color w:val="auto"/>
              </w:rPr>
              <w:t>Large accelerated filer</w:t>
            </w:r>
          </w:p>
        </w:tc>
        <w:tc>
          <w:tcPr>
            <w:tcW w:w="15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Accelerated filer</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880" w:type="dxa"/>
            <w:vAlign w:val="bottom"/>
          </w:tcPr>
          <w:p>
            <w:pPr>
              <w:jc w:val="center"/>
              <w:ind w:right="508"/>
              <w:spacing w:after="0"/>
              <w:rPr>
                <w:sz w:val="20"/>
                <w:szCs w:val="20"/>
                <w:color w:val="auto"/>
              </w:rPr>
            </w:pPr>
            <w:r>
              <w:rPr>
                <w:rFonts w:ascii="Times New Roman" w:cs="Times New Roman" w:eastAsia="Times New Roman" w:hAnsi="Times New Roman"/>
                <w:sz w:val="14"/>
                <w:szCs w:val="14"/>
                <w:color w:val="auto"/>
              </w:rPr>
              <w:t>Non-accelerated filer</w:t>
            </w:r>
          </w:p>
        </w:tc>
        <w:tc>
          <w:tcPr>
            <w:tcW w:w="15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Emerging growth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0" w:lineRule="exact"/>
        <w:rPr>
          <w:sz w:val="24"/>
          <w:szCs w:val="24"/>
          <w:color w:val="auto"/>
        </w:rPr>
      </w:pPr>
    </w:p>
    <w:p>
      <w:pPr>
        <w:ind w:right="18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0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50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24"/>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8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9" w:lineRule="exact"/>
        <w:rPr>
          <w:sz w:val="24"/>
          <w:szCs w:val="24"/>
          <w:color w:val="auto"/>
        </w:rPr>
      </w:pPr>
    </w:p>
    <w:p>
      <w:pPr>
        <w:ind w:right="380" w:firstLine="324"/>
        <w:spacing w:after="0" w:line="290" w:lineRule="auto"/>
        <w:rPr>
          <w:sz w:val="20"/>
          <w:szCs w:val="20"/>
          <w:color w:val="auto"/>
        </w:rPr>
      </w:pPr>
      <w:r>
        <w:rPr>
          <w:rFonts w:ascii="Times New Roman" w:cs="Times New Roman" w:eastAsia="Times New Roman" w:hAnsi="Times New Roman"/>
          <w:sz w:val="14"/>
          <w:szCs w:val="14"/>
          <w:color w:val="auto"/>
        </w:rPr>
        <w:t>As of June 30, 2024, the aggregate market value of the common stock held by non-affiliates of the registrant based on the closing price of the common stock on the NASDAQ Global Market was 1,413,025,683.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right="20" w:firstLine="324"/>
        <w:spacing w:after="0" w:line="302"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2025 Annual Meeting of Stockholders, which will be filed with the Securities and Exchange Commission not later than 120 days after the end of the registrant's 2024 fiscal year end,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97" w:right="399" w:bottom="97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97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80" w:type="dxa"/>
            <w:vAlign w:val="bottom"/>
            <w:gridSpan w:val="1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SUPERNUS PHARMACEUTICALS,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80" w:type="dxa"/>
            <w:vAlign w:val="bottom"/>
            <w:gridSpan w:val="13"/>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1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40" w:type="dxa"/>
            <w:vAlign w:val="bottom"/>
            <w:gridSpan w:val="14"/>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76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400" w:type="dxa"/>
            <w:vAlign w:val="bottom"/>
            <w:gridSpan w:val="10"/>
            <w:vMerge w:val="restart"/>
          </w:tcPr>
          <w:p>
            <w:pPr>
              <w:jc w:val="center"/>
              <w:ind w:right="4780"/>
              <w:spacing w:after="0"/>
              <w:rPr>
                <w:sz w:val="20"/>
                <w:szCs w:val="20"/>
                <w:color w:val="auto"/>
              </w:rPr>
            </w:pPr>
            <w:r>
              <w:rPr>
                <w:rFonts w:ascii="Times New Roman" w:cs="Times New Roman" w:eastAsia="Times New Roman" w:hAnsi="Times New Roman"/>
                <w:sz w:val="18"/>
                <w:szCs w:val="18"/>
                <w:color w:val="0000FF"/>
                <w:w w:val="95"/>
              </w:rPr>
              <w:t>PART I</w:t>
            </w: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400" w:type="dxa"/>
            <w:vAlign w:val="bottom"/>
            <w:gridSpan w:val="10"/>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4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tcBorders>
              <w:top w:val="single" w:sz="8" w:color="0000FF"/>
            </w:tcBorders>
          </w:tcPr>
          <w:p>
            <w:pPr>
              <w:spacing w:after="0"/>
              <w:rPr>
                <w:sz w:val="18"/>
                <w:szCs w:val="18"/>
                <w:color w:val="auto"/>
              </w:rPr>
            </w:pPr>
          </w:p>
        </w:tc>
        <w:tc>
          <w:tcPr>
            <w:tcW w:w="4820" w:type="dxa"/>
            <w:vAlign w:val="bottom"/>
            <w:gridSpan w:val="8"/>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300" w:type="dxa"/>
            <w:vAlign w:val="bottom"/>
          </w:tcPr>
          <w:p>
            <w:pPr>
              <w:spacing w:after="0"/>
              <w:rPr>
                <w:sz w:val="18"/>
                <w:szCs w:val="18"/>
                <w:color w:val="auto"/>
              </w:rPr>
            </w:pP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1B</w:t>
            </w:r>
            <w:r>
              <w:rPr>
                <w:rFonts w:ascii="Times New Roman" w:cs="Times New Roman" w:eastAsia="Times New Roman" w:hAnsi="Times New Roman"/>
                <w:sz w:val="18"/>
                <w:szCs w:val="18"/>
                <w:color w:val="000000"/>
                <w:w w:val="88"/>
              </w:rPr>
              <w:t>.</w:t>
            </w:r>
          </w:p>
        </w:tc>
        <w:tc>
          <w:tcPr>
            <w:tcW w:w="300" w:type="dxa"/>
            <w:vAlign w:val="bottom"/>
          </w:tcPr>
          <w:p>
            <w:pPr>
              <w:spacing w:after="0"/>
              <w:rPr>
                <w:sz w:val="18"/>
                <w:szCs w:val="18"/>
                <w:color w:val="auto"/>
              </w:rPr>
            </w:pP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1C.</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66</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760" w:type="dxa"/>
            <w:vAlign w:val="bottom"/>
            <w:gridSpan w:val="23"/>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9"/>
        </w:trPr>
        <w:tc>
          <w:tcPr>
            <w:tcW w:w="5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0"/>
          </w:tcPr>
          <w:p>
            <w:pPr>
              <w:jc w:val="center"/>
              <w:ind w:right="4800"/>
              <w:spacing w:after="0"/>
              <w:rPr>
                <w:sz w:val="20"/>
                <w:szCs w:val="20"/>
                <w:color w:val="auto"/>
              </w:rPr>
            </w:pPr>
            <w:r>
              <w:rPr>
                <w:rFonts w:ascii="Times New Roman" w:cs="Times New Roman" w:eastAsia="Times New Roman" w:hAnsi="Times New Roman"/>
                <w:sz w:val="18"/>
                <w:szCs w:val="18"/>
                <w:color w:val="0000FF"/>
                <w:w w:val="95"/>
              </w:rPr>
              <w:t>PART II</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 of Equity Securities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Reserved</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4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460" w:type="dxa"/>
            <w:vAlign w:val="bottom"/>
            <w:gridSpan w:val="12"/>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87</w:t>
            </w:r>
          </w:p>
        </w:tc>
        <w:tc>
          <w:tcPr>
            <w:tcW w:w="0" w:type="dxa"/>
            <w:vAlign w:val="bottom"/>
          </w:tcPr>
          <w:p>
            <w:pPr>
              <w:spacing w:after="0"/>
              <w:rPr>
                <w:sz w:val="1"/>
                <w:szCs w:val="1"/>
                <w:color w:val="auto"/>
              </w:rPr>
            </w:pPr>
          </w:p>
        </w:tc>
      </w:tr>
      <w:tr>
        <w:trPr>
          <w:trHeight w:val="209"/>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300" w:type="dxa"/>
            <w:vAlign w:val="bottom"/>
          </w:tcPr>
          <w:p>
            <w:pPr>
              <w:spacing w:after="0"/>
              <w:rPr>
                <w:sz w:val="18"/>
                <w:szCs w:val="18"/>
                <w:color w:val="auto"/>
              </w:rPr>
            </w:pPr>
          </w:p>
        </w:tc>
        <w:tc>
          <w:tcPr>
            <w:tcW w:w="3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6440" w:type="dxa"/>
            <w:vAlign w:val="bottom"/>
            <w:gridSpan w:val="14"/>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88</w:t>
            </w:r>
          </w:p>
        </w:tc>
        <w:tc>
          <w:tcPr>
            <w:tcW w:w="0" w:type="dxa"/>
            <w:vAlign w:val="bottom"/>
          </w:tcPr>
          <w:p>
            <w:pPr>
              <w:spacing w:after="0"/>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300" w:type="dxa"/>
            <w:vAlign w:val="bottom"/>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8000" w:type="dxa"/>
            <w:vAlign w:val="bottom"/>
            <w:gridSpan w:val="19"/>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300" w:type="dxa"/>
            <w:vAlign w:val="bottom"/>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000" w:type="dxa"/>
            <w:vAlign w:val="bottom"/>
            <w:gridSpan w:val="19"/>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PART III</w:t>
            </w:r>
          </w:p>
        </w:tc>
        <w:tc>
          <w:tcPr>
            <w:tcW w:w="476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300" w:type="dxa"/>
            <w:vAlign w:val="bottom"/>
          </w:tcPr>
          <w:p>
            <w:pPr>
              <w:spacing w:after="0"/>
              <w:rPr>
                <w:sz w:val="18"/>
                <w:szCs w:val="18"/>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680" w:type="dxa"/>
            <w:vAlign w:val="bottom"/>
            <w:gridSpan w:val="13"/>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300" w:type="dxa"/>
            <w:vAlign w:val="bottom"/>
          </w:tcPr>
          <w:p>
            <w:pPr>
              <w:spacing w:after="0"/>
              <w:rPr>
                <w:sz w:val="18"/>
                <w:szCs w:val="18"/>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680" w:type="dxa"/>
            <w:vAlign w:val="bottom"/>
            <w:gridSpan w:val="13"/>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300" w:type="dxa"/>
            <w:vAlign w:val="bottom"/>
          </w:tcPr>
          <w:p>
            <w:pPr>
              <w:spacing w:after="0"/>
              <w:rPr>
                <w:sz w:val="18"/>
                <w:szCs w:val="18"/>
                <w:color w:val="auto"/>
              </w:rPr>
            </w:pP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Security Ownership of Certain Owners and Management and Related Stockholder Matters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Item 13.</w:t>
            </w:r>
          </w:p>
        </w:tc>
        <w:tc>
          <w:tcPr>
            <w:tcW w:w="300" w:type="dxa"/>
            <w:vAlign w:val="bottom"/>
            <w:tcBorders>
              <w:bottom w:val="single" w:sz="8" w:color="0000FF"/>
            </w:tcBorders>
          </w:tcPr>
          <w:p>
            <w:pPr>
              <w:spacing w:after="0"/>
              <w:rPr>
                <w:sz w:val="18"/>
                <w:szCs w:val="18"/>
                <w:color w:val="auto"/>
              </w:rPr>
            </w:pPr>
          </w:p>
        </w:tc>
        <w:tc>
          <w:tcPr>
            <w:tcW w:w="5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040" w:type="dxa"/>
            <w:vAlign w:val="bottom"/>
            <w:gridSpan w:val="3"/>
          </w:tcPr>
          <w:p>
            <w:pPr>
              <w:spacing w:after="0"/>
              <w:rPr>
                <w:sz w:val="18"/>
                <w:szCs w:val="18"/>
                <w:color w:val="auto"/>
              </w:rPr>
            </w:pPr>
          </w:p>
        </w:tc>
        <w:tc>
          <w:tcPr>
            <w:tcW w:w="3280" w:type="dxa"/>
            <w:vAlign w:val="bottom"/>
            <w:gridSpan w:val="2"/>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134</w:t>
            </w:r>
          </w:p>
        </w:tc>
        <w:tc>
          <w:tcPr>
            <w:tcW w:w="0" w:type="dxa"/>
            <w:vAlign w:val="bottom"/>
          </w:tcPr>
          <w:p>
            <w:pPr>
              <w:spacing w:after="0"/>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134</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gridSpan w:val="12"/>
          </w:tcPr>
          <w:p>
            <w:pPr>
              <w:jc w:val="center"/>
              <w:ind w:right="4720"/>
              <w:spacing w:after="0"/>
              <w:rPr>
                <w:sz w:val="20"/>
                <w:szCs w:val="20"/>
                <w:color w:val="auto"/>
              </w:rPr>
            </w:pPr>
            <w:r>
              <w:rPr>
                <w:rFonts w:ascii="Times New Roman" w:cs="Times New Roman" w:eastAsia="Times New Roman" w:hAnsi="Times New Roman"/>
                <w:sz w:val="18"/>
                <w:szCs w:val="18"/>
                <w:color w:val="0000FF"/>
                <w:w w:val="94"/>
              </w:rPr>
              <w:t>PART IV</w:t>
            </w:r>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4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660" w:type="dxa"/>
            <w:vAlign w:val="bottom"/>
            <w:tcBorders>
              <w:top w:val="single" w:sz="8" w:color="0000FF"/>
            </w:tcBorders>
            <w:gridSpan w:val="5"/>
          </w:tcPr>
          <w:p>
            <w:pPr>
              <w:spacing w:after="0"/>
              <w:rPr>
                <w:sz w:val="18"/>
                <w:szCs w:val="18"/>
                <w:color w:val="auto"/>
              </w:rPr>
            </w:pPr>
          </w:p>
        </w:tc>
        <w:tc>
          <w:tcPr>
            <w:tcW w:w="4760" w:type="dxa"/>
            <w:vAlign w:val="bottom"/>
            <w:gridSpan w:val="6"/>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135</w:t>
            </w:r>
          </w:p>
        </w:tc>
        <w:tc>
          <w:tcPr>
            <w:tcW w:w="0" w:type="dxa"/>
            <w:vAlign w:val="bottom"/>
          </w:tcPr>
          <w:p>
            <w:pPr>
              <w:spacing w:after="0"/>
              <w:rPr>
                <w:sz w:val="1"/>
                <w:szCs w:val="1"/>
                <w:color w:val="auto"/>
              </w:rPr>
            </w:pPr>
          </w:p>
        </w:tc>
      </w:tr>
      <w:tr>
        <w:trPr>
          <w:trHeight w:val="209"/>
        </w:trPr>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Item 16.</w:t>
            </w:r>
          </w:p>
        </w:tc>
        <w:tc>
          <w:tcPr>
            <w:tcW w:w="30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5"/>
          </w:tcPr>
          <w:p>
            <w:pPr>
              <w:spacing w:after="0"/>
              <w:rPr>
                <w:sz w:val="18"/>
                <w:szCs w:val="18"/>
                <w:color w:val="auto"/>
              </w:rPr>
            </w:pPr>
          </w:p>
        </w:tc>
        <w:tc>
          <w:tcPr>
            <w:tcW w:w="6880" w:type="dxa"/>
            <w:vAlign w:val="bottom"/>
            <w:gridSpan w:val="15"/>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135</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220" w:type="dxa"/>
            <w:vAlign w:val="bottom"/>
            <w:gridSpan w:val="20"/>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and ONAPGO in the United States and its territories. Adamas Operations, LLC ("Adamas Operations"),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w:t>
      </w:r>
    </w:p>
    <w:p>
      <w:pPr>
        <w:spacing w:after="0" w:line="147"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We, including our subsidiaries, are the owner/licensee of various U.S. federal trademark registrations (®) and registration applications (TM), including the following marks referred to in this Annual Report on Form 10-K, pursuant to applicable U.S. intellectual property laws: "Supernus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"Microtrol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"Solutrol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"Osmolex 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"Namzaric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"ONAPGO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and the registered Supernus Pharmaceuticals logo.</w:t>
      </w:r>
    </w:p>
    <w:p>
      <w:pPr>
        <w:spacing w:after="0" w:line="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All trademarks or trade names referred to in this Annual Report are the property of their respective owners. Solely for convenience, the trademarks and trade names in this Annual Report on Form 10-K are referred to without the ®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Securities Exchange Act of 1934 and the Securities Act of 1933 that involve risks and uncertainties. Forward-looking statements convey our current expectations or forecasts of future events. All statements contained in this Annual Report other than statements of historical fact are forward-looking statements. Forward-looking statements include statements regarding our future financial position, business strategy, budgets, projected costs, plans, and objectives of management for future operations. The words "may," "continue," "estimate," "intend," "plan," "will," "believe," "project," "expect," "seek," "anticipate," "should," "could," "would," "potential," or the negative of those terms and similar expressions may identify forward-looking statements, but the absence of these words does not necessarily mean that a statement is not forward-looking.</w:t>
      </w:r>
    </w:p>
    <w:p>
      <w:pPr>
        <w:spacing w:after="0" w:line="14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These forward-looking statements include expectations regarding the potential benefits and commercialization of ONAPGO. In addition to the factors mentioned in this annual report, such risks and uncertainties include, but are not limited to, the Company's ability to sustain and increase its profitability; the Company's ability to raise sufficient capital to fully implement its corporate strategy; the implementation of the Company’s corporate strategy, including the successful identification and implementation of business development opportunities; the Company's future financial performance and projected expenditures;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products and product candidates; the Company's ability to increase its manufacturing capabilities for its products and product candidates; the Company's projected markets and growth in markets; the early entry into the market of generic equivalents to all the Company's approved products; the Company's ability to develop successful product formulations that are accepted by patients, physicians, and payors; availability of potential funding sources; the Company's ability to meet its staffing needs; the Company's ability to comply with the Corporate Integrity Agreement and other risk factors set forth from time to time in the Company's filings with the Securities and Exchange Commission made pursuant to Section 13 or 15(d) of the Securities Exchange Act of 1934, as amended.</w:t>
      </w:r>
    </w:p>
    <w:p>
      <w:pPr>
        <w:spacing w:after="0" w:line="15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not place undue reliance on these forward-looking statements, which speak only as of the date of this report. All of these forward-looking statements are based on information available to us at this time, and we assume no obligation to update any of these statements. Actual results could differ from those projected in these forward-looking statements as a result of many factors, including those identified in the "Business," "Risk Factors," "Management's Discussion and Analysis of Financial Condition and Results of Operations" sections, and elsewhere in this Annual Report on Form 10-K. We urge you to review and consider the various disclosures made by us in this report and those detailed from time to time in our filings with the Securities and Exchange Commission that attempt to advise you of the risks and factors that may affect our future results.</w:t>
      </w:r>
    </w:p>
    <w:p>
      <w:pPr>
        <w:spacing w:after="0" w:line="1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Supernus Pharmaceuticals, Inc. (the Company) is a biopharmaceutical company focused on developing and commercializing products for the treatment of central nervous system (CNS) diseases. The Company's diverse neuroscience portfolio includes approved treatments for attention-deficit hyperactivity disorder (ADHD), dyskinesia in Parkinson's Disease (PD) patients receiving levodopa-based therapy, hypomobility in PD, epilepsy, migraine, cervical dystonia, and chronic sialorrhea. The Company is developing a broad range of novel CNS product candidates including new potential treatments for epilepsy, depression, and other CNS disorders.</w:t>
      </w:r>
    </w:p>
    <w:p>
      <w:pPr>
        <w:spacing w:after="0" w:line="15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Company was incorporated in Delaware, commenced operations in 2005, became publicly traded in 2012, and is listed on the NASDAQ Stock Exchange under the ticker symbol SUPN. Our principal executive offices are located in Rockville, Maryland. Our extensive expertise in product development has been built over the past 30 years: initially as a stand-alone development organization; then, as a United States (U.S.) subsidiary of Shire Plc (Shire, a subsidiary of Takeda Pharmaceutical Company Ltd.); then upon our acquisition of substantially all of the assets of Shire Laboratories, Inc. in 2005, as Supernus Pharmaceuticals.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mission is to improve the lives of patients suffering from CNS diseases. Our vision is to be a leader in the CNS industry by developing and commercializing new medicines for the treatment of CNS diseases. Key elements of our strategy to achieve this vision include:</w:t>
      </w:r>
    </w:p>
    <w:p>
      <w:pPr>
        <w:spacing w:after="0" w:line="119" w:lineRule="exact"/>
        <w:rPr>
          <w:sz w:val="20"/>
          <w:szCs w:val="20"/>
          <w:color w:val="auto"/>
        </w:rPr>
      </w:pPr>
    </w:p>
    <w:p>
      <w:pPr>
        <w:ind w:left="660" w:right="340" w:hanging="328"/>
        <w:spacing w:after="0" w:line="28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Drive growth and profitability. </w:t>
      </w:r>
      <w:r>
        <w:rPr>
          <w:rFonts w:ascii="Times New Roman" w:cs="Times New Roman" w:eastAsia="Times New Roman" w:hAnsi="Times New Roman"/>
          <w:sz w:val="18"/>
          <w:szCs w:val="18"/>
          <w:color w:val="auto"/>
        </w:rPr>
        <w:t>Using dedicated sales and marketing resources in the U.S., we continue to drive the revenue growth of our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marketed products.</w:t>
      </w:r>
    </w:p>
    <w:p>
      <w:pPr>
        <w:spacing w:after="0" w:line="131" w:lineRule="exact"/>
        <w:rPr>
          <w:rFonts w:ascii="Times New Roman" w:cs="Times New Roman" w:eastAsia="Times New Roman" w:hAnsi="Times New Roman"/>
          <w:sz w:val="18"/>
          <w:szCs w:val="18"/>
          <w:i w:val="1"/>
          <w:iCs w:val="1"/>
          <w:color w:val="auto"/>
        </w:rPr>
      </w:pPr>
    </w:p>
    <w:p>
      <w:pPr>
        <w:ind w:left="660" w:right="220" w:hanging="328"/>
        <w:spacing w:after="0" w:line="28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Advance product candidates toward commercialization. </w:t>
      </w:r>
      <w:r>
        <w:rPr>
          <w:rFonts w:ascii="Times New Roman" w:cs="Times New Roman" w:eastAsia="Times New Roman" w:hAnsi="Times New Roman"/>
          <w:sz w:val="18"/>
          <w:szCs w:val="18"/>
          <w:color w:val="auto"/>
        </w:rPr>
        <w:t>Several product candidates in our pipeline are in early-to-late stage clinical testing,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moving toward being commercially available to patients.</w:t>
      </w:r>
    </w:p>
    <w:p>
      <w:pPr>
        <w:spacing w:after="0" w:line="117" w:lineRule="exact"/>
        <w:rPr>
          <w:rFonts w:ascii="Times New Roman" w:cs="Times New Roman" w:eastAsia="Times New Roman" w:hAnsi="Times New Roman"/>
          <w:sz w:val="18"/>
          <w:szCs w:val="18"/>
          <w:i w:val="1"/>
          <w:iCs w:val="1"/>
          <w:color w:val="auto"/>
        </w:rPr>
      </w:pPr>
    </w:p>
    <w:p>
      <w:pPr>
        <w:ind w:left="660" w:right="760" w:hanging="328"/>
        <w:spacing w:after="0" w:line="28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Continue to grow our pipeline. </w:t>
      </w:r>
      <w:r>
        <w:rPr>
          <w:rFonts w:ascii="Times New Roman" w:cs="Times New Roman" w:eastAsia="Times New Roman" w:hAnsi="Times New Roman"/>
          <w:sz w:val="18"/>
          <w:szCs w:val="18"/>
          <w:color w:val="auto"/>
        </w:rPr>
        <w:t>We continue to evaluate and develop additional CNS product candidates that we believe have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potential through our internal research and development efforts.</w:t>
      </w:r>
    </w:p>
    <w:p>
      <w:pPr>
        <w:spacing w:after="0" w:line="117" w:lineRule="exact"/>
        <w:rPr>
          <w:rFonts w:ascii="Times New Roman" w:cs="Times New Roman" w:eastAsia="Times New Roman" w:hAnsi="Times New Roman"/>
          <w:sz w:val="18"/>
          <w:szCs w:val="18"/>
          <w:i w:val="1"/>
          <w:iCs w:val="1"/>
          <w:color w:val="auto"/>
        </w:rPr>
      </w:pPr>
    </w:p>
    <w:p>
      <w:pPr>
        <w:ind w:left="660" w:right="460" w:hanging="328"/>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 strategic business development opportunities. </w:t>
      </w:r>
      <w:r>
        <w:rPr>
          <w:rFonts w:ascii="Times New Roman" w:cs="Times New Roman" w:eastAsia="Times New Roman" w:hAnsi="Times New Roman"/>
          <w:sz w:val="18"/>
          <w:szCs w:val="18"/>
          <w:color w:val="auto"/>
        </w:rPr>
        <w:t>We actively explore a broad range of strategic opportunities. This includes in-licensing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entering into co-promotion and co-development partnerships for our commercial products and product candidates, as well as acquisitions of businesses with either or both commercial products and product candidates.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commercial products, including those sold by or through our subsidiaries, include: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Qelbree</w:t>
      </w:r>
      <w:r>
        <w:rPr>
          <w:rFonts w:ascii="Times New Roman" w:cs="Times New Roman" w:eastAsia="Times New Roman" w:hAnsi="Times New Roman"/>
          <w:sz w:val="23"/>
          <w:szCs w:val="23"/>
          <w:color w:val="auto"/>
          <w:vertAlign w:val="superscript"/>
        </w:rPr>
        <w:t>®</w:t>
      </w:r>
    </w:p>
    <w:p>
      <w:pPr>
        <w:spacing w:after="0" w:line="1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Qelbree (viloxazine extended-release capsules) is a novel non-stimulant product indicated for the treatment of ADHD in adults and pediatric patients 6 years and older. On April 2, 2021, the FDA approved Qelbree for the treatment of ADHD in pediatric patients 6 to 17 years of age. In May 2021, the Company launched Qelbree for pediatric patients in the U.S. On April 29, 2022, the FDA approved Qelbree for treatment of ADHD in adult patients. The Company launched Qelbree for adult patients in May 2022. In January 2025, the FDA approved an expanded label update for Qelbree to include new data on the pharmacodynamics and use in breastfeeding mothers.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GOCOVRI</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GOCOVRI (amantadine) extended-release capsules is the first and only FDA-approved medicine indicated for the treatment of dyskinesia in patients with PD receiving levodopa-based therapy, with or without concomitant dopaminergic medications, and as an adjunctive treatment to levodopa/carbidopa in patients with PD experiencing "OFF" episodes.</w:t>
      </w:r>
    </w:p>
    <w:p>
      <w:pPr>
        <w:spacing w:after="0" w:line="149"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18"/>
          <w:szCs w:val="18"/>
          <w:color w:val="auto"/>
        </w:rPr>
        <w:t>GOCOVRI was approved by the FDA in August 2017 for treatment of dyskinesia and in February 2021 as an adjunctive treatment for "OFF" episodes. The February 2021 update to the label indication makes GOCOVRI the only medicine clinically proven and approved to reduce both "OFF" episodes and dyskinesia in PD patients taking a levodopa-based medication, resulting in a clinically meaningful increase in good "on" time without the need for a "trade-off' when managing these motor complications.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Oxtellar XR</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Oxtellar XR is indicated for treatment of partial-onset seizure in adults and children 6 years of age and older. Oxtellar XR is the first once-daily extended-release oxcarbazepine product indicated for the treatment of epilepsy in the U.S. market. In 2013, we launched Oxtellar XR for adjunctive therapy in the treatment of partial-onset seizures in adults and children 6 to 17 years of age. In January 2019, we launched Oxtellar XR for monotherapy treatment of partial onset epilepsy seizures in adults and children 6 to 17 years of age.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APOKYN</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APOKYN (apomorphine hydrochloride injection) is a product indicated for the acute, intermittent treatment of hypomobility or "OFF" episodes ("end-of-dose wearing off" and unpredictable "on-off" episodes) in patients with advanced PD. APOKYN's adjustable dose subcutaneous injection pen is designed to quickly and reliably reverse the effects of oral levodopa wearing off in patients with inadequately controlled PD.</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Trokendi XR</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Trokendi XR is indicated for (1) epilepsy: initial monotherapy for the treatment of partial-onset and primary generalized tonic-clonic (PGTC) seizure in patients 6 years of age and older (1.1); adjunctive therapy for the treatment of partial-onset, primary generalized tonic-clonic seizures, or seizures associated with Lennox-Gastaut Syndrome in patients 6 years of age and older (1.2); and for (2) preventive treatment of migraine in patients 12 years of age and older. Trokendi XR is the first once-daily extended-release topiramate product indicated for the treatment of epilepsy and the prophylaxis of migraine headaches in adults and adolescents in the U.S. market.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XADAGO</w:t>
      </w:r>
      <w:r>
        <w:rPr>
          <w:rFonts w:ascii="Times New Roman" w:cs="Times New Roman" w:eastAsia="Times New Roman" w:hAnsi="Times New Roman"/>
          <w:sz w:val="23"/>
          <w:szCs w:val="23"/>
          <w:i w:val="1"/>
          <w:iCs w:val="1"/>
          <w:color w:val="auto"/>
          <w:vertAlign w:val="superscript"/>
        </w:rPr>
        <w:t>®</w:t>
      </w:r>
    </w:p>
    <w:p>
      <w:pPr>
        <w:spacing w:after="0" w:line="1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XADAGO (safinamide) is a once-daily product indicated as adjunctive treatment to levodopa/carbidopa in patients with PD who are experiencing "OFF" episodes. XADAGO is a monoamine oxidase B (MAO-B) inhibitor that works by blocking the catabolism of dopamine, which is believed to result in an increase in dopamine levels, and therefore a subsequent increase in dopaminergic activity in the brain. XADAGO was approved by the FDA in March 2017.</w:t>
      </w:r>
    </w:p>
    <w:p>
      <w:pPr>
        <w:spacing w:after="0" w:line="13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entered into settlement agreements with third parties permitting the sale of a generic version of XADAGO beginning in December 2027, or sooner under certain conditions. For more information, refer to </w:t>
      </w:r>
      <w:r>
        <w:rPr>
          <w:rFonts w:ascii="Times New Roman" w:cs="Times New Roman" w:eastAsia="Times New Roman" w:hAnsi="Times New Roman"/>
          <w:sz w:val="18"/>
          <w:szCs w:val="18"/>
          <w:i w:val="1"/>
          <w:iCs w:val="1"/>
          <w:color w:val="auto"/>
        </w:rPr>
        <w:t>Part I, Item I—Business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 and Exclusivity</w:t>
      </w:r>
      <w:r>
        <w:rPr>
          <w:rFonts w:ascii="Times New Roman" w:cs="Times New Roman" w:eastAsia="Times New Roman" w:hAnsi="Times New Roman"/>
          <w:sz w:val="18"/>
          <w:szCs w:val="18"/>
          <w:color w:val="auto"/>
        </w:rPr>
        <w:t xml:space="preserve"> in this Annual Report on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MYOBLOC</w:t>
      </w:r>
      <w:r>
        <w:rPr>
          <w:rFonts w:ascii="Times New Roman" w:cs="Times New Roman" w:eastAsia="Times New Roman" w:hAnsi="Times New Roman"/>
          <w:sz w:val="23"/>
          <w:szCs w:val="23"/>
          <w:i w:val="1"/>
          <w:iCs w:val="1"/>
          <w:color w:val="auto"/>
          <w:vertAlign w:val="superscript"/>
        </w:rPr>
        <w:t>®</w:t>
      </w:r>
    </w:p>
    <w:p>
      <w:pPr>
        <w:spacing w:after="0" w:line="14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MYOBLOC (rimabotulinumtoxinB) is a product indicated for the treatment of cervical dystonia to reduce the severity of abnormal head position and neck pain associated with cervical dystonia in adults and treatment of chronic sialorrhea in adults. MYOBLOC is the only Type B toxin available on the market. MYOBLOC injections must be administered by a physician.</w:t>
      </w:r>
    </w:p>
    <w:p>
      <w:pPr>
        <w:spacing w:after="0" w:line="13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MYOBLOC was approved by the FDA in August 2019 for the treatment of chronic sialorrhea in adults and in December 2000 for the treatment of adults with cervical dystonia.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ONAPGO</w:t>
      </w:r>
      <w:r>
        <w:rPr>
          <w:rFonts w:ascii="Times New Roman" w:cs="Times New Roman" w:eastAsia="Times New Roman" w:hAnsi="Times New Roman"/>
          <w:sz w:val="23"/>
          <w:szCs w:val="23"/>
          <w:i w:val="1"/>
          <w:iCs w:val="1"/>
          <w:color w:val="auto"/>
          <w:vertAlign w:val="superscript"/>
        </w:rPr>
        <w:t>TM</w:t>
      </w:r>
    </w:p>
    <w:p>
      <w:pPr>
        <w:spacing w:after="0" w:line="14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ONAPGO (apomorphine hydrochloride) injection is the first and only subcutaneous apomorphine infusion device for the treatment of motor fluctuations in adults with advanced PD. ONAPGO was approved by the FDA in February 2025 and received an Orphan Drug Designation. ONAPGO will be launched in the second quarter of 2025.</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committed to the development of innovative product candidates in neurology and psychiatry,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128905</wp:posOffset>
            </wp:positionV>
            <wp:extent cx="5554980" cy="258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498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also engage in a variety of research and development efforts including development of a pipeline of novel CNS product candidates for the treatment of various CNS conditions. We have devoted and continue to devote significant resources to research and development activities. We expect to incur significant expenses as we continue developing each of our product candidates through FDA approval or until the program terminates; and expanding product indications for approved products and our intellectual property portfolio. Our expectations regarding our research and development programs are subject to the risks described under </w:t>
      </w:r>
      <w:r>
        <w:rPr>
          <w:rFonts w:ascii="Times New Roman" w:cs="Times New Roman" w:eastAsia="Times New Roman" w:hAnsi="Times New Roman"/>
          <w:sz w:val="18"/>
          <w:szCs w:val="18"/>
          <w:i w:val="1"/>
          <w:iCs w:val="1"/>
          <w:color w:val="auto"/>
        </w:rPr>
        <w:t>Item 1A—Risk Factors—Risks Related to Our Industry and Business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ONAPGO (formerly SPN-830)</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ONAPGO (apomorphine hydrochloride) injection is the first and only subcutaneous apomorphine infusion device for the treatment of motor fluctuations in adults with advanced PD. ONAPGO was approved by the FDA in February 2025 and received an Orphan Drug Designation. ONAPGO will be launched in the second quarter of 2025.</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approval of ONAPGO is based on results from a Phase 3, twelve-week, multicenter, parallel-group, double-blind, randomized, placebo-controlled study (N=107) evaluating the efficacy and safety of ONAPGO. The primary efficacy endpoint was the mean change in total daily "OFF" time assessed from baseline to the end of the twelve-week treatment period based on patient diaries. The key secondary endpoints were the mean change in daily GOOD ON time, which was defined as ON time without troublesome dyskinesia, and Patient Global Impression of Change (PGIC).</w:t>
      </w:r>
    </w:p>
    <w:p>
      <w:pPr>
        <w:spacing w:after="0" w:line="1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the Phase 3 study, ONAPGO significantly reduced the amount of daily "OFF" time at twelve weeks from baseline (p=0.0114), with ONAPGO-treated patients (n=53) experiencing a 2.6-hour reduction compared to placebo (n=51) with 0.9 hours. The reduction in daily "OFF" time was accompanied by a similar significant increase in daily GOOD ON time (2.8 hours for ONAPGO-treated patients compared to 1.1 hours for the placebo group; p=0.0188). In addition, numerically greater improvements in daily "OFF" time and daily GOOD ON time were seen as early as the first week of treatment and were maintained throughout all measured timepoints. Additionally, ONAPGO-treated patients more frequently reported improvement in their state of general health compared with placebo-treated patients (PGIC: 79% vs. 24%; p&lt;0.0001). The most common adverse events (≥10% incidence) were infusion-site nodule, nausea, somnolence, infusion-site erythema, dyskinesia, headache, and insomnia.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87"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SPN-817 represents a novel MOA for an anticonvulsant. SPN-817 is a novel synthetic form of huperzine A, whose MOA includes potent acetylcholinesterase inhibition, with pharmacological activities in CNS conditions such as epilepsy. The development will initially focus on the drug's anticonvulsant activity, which has been shown in preclinical models to be effective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treatment of partial seizures and Dravet Syndrome. SPN-817 has received Orphan Drug Designation for both Dravet Syndrome and Lennox-Gastaut Syndrome from the FDA.</w:t>
      </w:r>
    </w:p>
    <w:p>
      <w:pPr>
        <w:spacing w:after="0" w:line="12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are focused on completing and optimizing the synthesis process of the synthetic drug as well as developing a novel dosage form. Given the potency of SPN-817 (huperzine A), a novel extended-release oral dosage form is critical to the success of this program because initial studies with the immediate-release formulations of non-synthetic SPN-817 (huperzine A) have shown serious dose-limiting, side effects.</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conducting an open-label Phase 2a clinical study of SPN-817 in patients with treatment-resistant seizures. The first part of this study (Stage A) has completed dosing in the titration and maintenance periods. We have completed enrollment of Stage A and announced in November 2024 the topline data from all subjects with focal seizures who received the 3mg and 4mg twice daily doses, completed the maintenance period (n=10), and enrolled in the post-maintenance extension period (n=6).</w:t>
      </w:r>
    </w:p>
    <w:p>
      <w:pPr>
        <w:spacing w:after="0" w:line="15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period: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median seizure reduction from baseline.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of subjects had 30% or more seizure reduction.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subjects had 50% or more seizure reduction.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subjects had 75% or more seizure reduction.</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Post-maintenance extension period: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median seizure reduction from baseline.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of subjects had 30% or more seizure reduction.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of subjects had 50% or more seizure reduction.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subjects had 75% or more seizure reduction.</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Freedom:</w:t>
      </w:r>
    </w:p>
    <w:p>
      <w:pPr>
        <w:spacing w:after="0" w:line="27" w:lineRule="exact"/>
        <w:rPr>
          <w:rFonts w:ascii="Times New Roman" w:cs="Times New Roman" w:eastAsia="Times New Roman" w:hAnsi="Times New Roman"/>
          <w:sz w:val="18"/>
          <w:szCs w:val="18"/>
          <w:color w:val="auto"/>
        </w:rPr>
      </w:pPr>
    </w:p>
    <w:p>
      <w:pPr>
        <w:ind w:left="1300" w:right="460" w:hanging="320"/>
        <w:spacing w:after="0" w:line="250"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period: 1 out of 10 subjects (10%) who completed a post-baseline seizure diary had at least one four-week seizure free period.</w:t>
      </w: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Post-maintenance extension period: 1 out of 6 subjects (17%) had at least one four-week seizure free period.</w:t>
      </w:r>
    </w:p>
    <w:p>
      <w:pPr>
        <w:spacing w:after="0" w:line="16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Assessment by EpiTrack®, a validated cognitive screening tool designed for patients with epilepsy, indicated that 75% of 16 subjects was equally split between those who improved and those who had no change in cognitive function. SPN-817 was safe and had acceptable tolerability with 2 subjects discontinuing because of treatment related adverse events out of the 26 subjects who entered the maintenance period. The second part of this study (Stage B) is on-going and includes the use of a concomitant anti-emetic to reduce the cholinergic adverse events observed in the study.</w:t>
      </w:r>
    </w:p>
    <w:p>
      <w:pPr>
        <w:spacing w:after="0" w:line="13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initiated a Phase 2b randomized, double-blind, placebo-controlled study of 3mg and 4mg twice daily doses in approximately 258 adult patients with treatment resistant focal seizures.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SPN-820 is a first-in-class, orally active small molecule that activates the brain mechanistic target of rapamycin complex 1 (mTORC1), a gatekeeper of cellular metabolism and renewal. SPN-820 binds to and modulates sestrin, which senses amino acid availability in the brain, a potent natural activator of mTORC1.</w:t>
      </w:r>
    </w:p>
    <w:p>
      <w:pPr>
        <w:spacing w:after="0" w:line="13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Depression is associated with synapse loss and reduced synaptic plasticity in key brain regions including the prefrontal cortex and increasing mTORC1-mediated synaptic plasticity is a promising avenue to treat depression and associated symptoms. SPN-820 selectively binds to intracellular sestrin proteins and subsequently engages a cascade of multi-protein complexes, enhancing mTORC1 signaling. A single administration of SPN-820 rapidly (on within one hour) and transiently (off within seven hours) enhances intracellular mTORC1 signaling in the prefrontal cortex of animals, restores levels of synaptic proteins, reducing depressive-like behaviors in a brain-derived neurotrophic factor "BDNF"-dependent manner. The rapid and transient enhancement of mTORC1 signaling in the prefrontal cortex is required for anti-depressant effects in preclinical animal models. The intracellular mechanism of SPN-820, and the lack of binding to cell surface receptors, suggests the potential for a differentiated safety profile.</w:t>
      </w:r>
    </w:p>
    <w:p>
      <w:pPr>
        <w:spacing w:after="0" w:line="162"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A Phase 1 trial demonstrated early proof of concept in which a single dose of SPN-820 showed a rapid and sustained improvement in core symptoms, with favorable safety and tolerability in patients with treatment resistant depression. We believe the novel mechanism of action (MOA) in depression may improve symptoms of depression in patients who have failed other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w:t>
      </w:r>
    </w:p>
    <w:p>
      <w:pPr>
        <w:spacing w:after="0" w:line="18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completed a Phase 2a multi-center open label study in 40 subjects with Major Depressive Disorder (MDD) in the fourth quarter of 2024. The data were based on 40 enrolled subjects, of which 38 completed the ten-day treatment period. The primary objective of the study was to assess efficacy in MDD, as well as the onset of efficacy. The Phase 2a study demonstrated rapid and substantial decrease in depressive symptoms, and 80% decrease in suicidal ideation. SPN-820 was well-tolerated during the study with few adverse events reported by the subjects. In addition, the data demonstrated a rapid Montgomery–Asberg Depression Rating Scale (MADRS) response rate (≥50% reduction) and remission (MADRS ≤10), reaching 50.0% and 35.0% of subjects, respectively, at 4 hours, with additional improvement to 84.2% and 63.2% of participants by Day 10.</w:t>
      </w:r>
    </w:p>
    <w:p>
      <w:pPr>
        <w:spacing w:after="0" w:line="14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February 2025, we reported topline results from the Phase 2b study of SPN-820. The Phase 2b study of SPN-820 in adults with treatment-resistant depression did not demonstrate a statistically significant improvement on the primary endpoint of change from baseline in the MADRS total score to Week 4 (SPN-820 [LS mean ± Standard Error]: -12.3 ± 0.96 vs. placebo: -11.9 ± 0.96; p = not significant). There was no treatment difference between SPN-820 and placebo in the change from baseline to Week 4 for the secondary endpoints. The safety profile of SPN-820 was consistent with previous clinical trials, showing few adverse events.</w:t>
      </w:r>
    </w:p>
    <w:p>
      <w:pPr>
        <w:spacing w:after="0" w:line="1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Phase 2b study was a multi-center randomized double-blind placebo-controlled trial of SPN-820 in adults with treatment-resistant depression. The study examined the efficacy and safety of SPN-820 over a course of four weeks of treatment and then a week of blinded placebo-washout in approximately 250 patients from approximately 40 clinical sites. The primary outcome measure was the change from baseline to end of treatment period on the MADRS Total Score.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SPN-443 – Novel stimulant for the treatment of ADHD/CNS</w:t>
      </w:r>
    </w:p>
    <w:p>
      <w:pPr>
        <w:spacing w:after="0" w:line="187" w:lineRule="exact"/>
        <w:rPr>
          <w:sz w:val="20"/>
          <w:szCs w:val="20"/>
          <w:color w:val="auto"/>
        </w:rPr>
      </w:pPr>
    </w:p>
    <w:p>
      <w:pPr>
        <w:jc w:val="both"/>
        <w:ind w:right="80" w:firstLine="648"/>
        <w:spacing w:after="0" w:line="281" w:lineRule="auto"/>
        <w:rPr>
          <w:sz w:val="20"/>
          <w:szCs w:val="20"/>
          <w:color w:val="auto"/>
        </w:rPr>
      </w:pPr>
      <w:r>
        <w:rPr>
          <w:rFonts w:ascii="Times New Roman" w:cs="Times New Roman" w:eastAsia="Times New Roman" w:hAnsi="Times New Roman"/>
          <w:sz w:val="17"/>
          <w:szCs w:val="17"/>
          <w:color w:val="auto"/>
        </w:rPr>
        <w:t>We completed a Phase 1 single dose study in healthy adults in 2024 following submission of an Investigational New Drug Application. The study was a first in human, pilot pharmacokinetic study of two oral formulations of SPN-443 in healthy adults. The primary objective of the study was to assess the safety and tolerability. This molecule, along with its major metabolites, is an inhibitor of norepinephrine, dopamine and serotonin, also known as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triple reuptake inhibitor. Both formulations of SPN-443 showed adequate bioavailability and were well tolerated.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9"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We market our key products through our own sales forces in the U.S. and seek strategic collaborations with other pharmaceutical companies to commercialize our products outside of the U.S. We have a commercial sales and marketing organization in the U.S. to support sales of our commercial products. We believe our current sales forces in the U.S. are effectively targeting healthcare providers to support and grow our key commercial products.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sales force focuses on serving movement disorder specialists and other specialized health care providers in the U.S. in the Parkinson's area.</w:t>
      </w:r>
    </w:p>
    <w:p>
      <w:pPr>
        <w:spacing w:after="0" w:line="198" w:lineRule="exact"/>
        <w:rPr>
          <w:sz w:val="20"/>
          <w:szCs w:val="20"/>
          <w:color w:val="auto"/>
        </w:rPr>
      </w:pPr>
    </w:p>
    <w:p>
      <w:pPr>
        <w:ind w:right="180" w:firstLine="648"/>
        <w:spacing w:after="0" w:line="453" w:lineRule="auto"/>
        <w:rPr>
          <w:sz w:val="20"/>
          <w:szCs w:val="20"/>
          <w:color w:val="auto"/>
        </w:rPr>
      </w:pPr>
      <w:r>
        <w:rPr>
          <w:rFonts w:ascii="Times New Roman" w:cs="Times New Roman" w:eastAsia="Times New Roman" w:hAnsi="Times New Roman"/>
          <w:sz w:val="18"/>
          <w:szCs w:val="18"/>
          <w:color w:val="auto"/>
        </w:rPr>
        <w:t xml:space="preserve">The second sales force focuses on serving psychiatrists, pediatricians, primary care physicians and other health professionals in the ADHD area. </w:t>
      </w:r>
      <w:r>
        <w:rPr>
          <w:rFonts w:ascii="Times New Roman" w:cs="Times New Roman" w:eastAsia="Times New Roman" w:hAnsi="Times New Roman"/>
          <w:sz w:val="18"/>
          <w:szCs w:val="18"/>
          <w:i w:val="1"/>
          <w:iCs w:val="1"/>
          <w:color w:val="auto"/>
        </w:rPr>
        <w:t>Customers</w:t>
      </w:r>
    </w:p>
    <w:p>
      <w:pPr>
        <w:spacing w:after="0" w:line="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product sales are to pharmaceutical wholesalers, specialty pharmacies, and distributors who, in turn, sell our products to pharmacies, hospitals, and other customers, including federal and state entities. The majority of sales of Qelbree, Oxtellar XR, Trokendi XR, and XADAGO are made to wholesalers and distributors. In addition, MYOBLOC is available for direct purchase by physicians and hospitals. The majority of sales of GOCOVRI and APOKYN, are made to specialty pharmacies.</w:t>
      </w:r>
    </w:p>
    <w:p>
      <w:pPr>
        <w:spacing w:after="0" w:line="15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our three major customers, Cencora, Inc., Cardinal Health, Inc., and McKesson Corporation, individually accounted for more than 20% of our total product revenue in 2024 and collectively accounted for more than 77% of our total product revenue in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and Competition</w:t>
      </w:r>
    </w:p>
    <w:p>
      <w:pPr>
        <w:spacing w:after="0" w:line="18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are engaged in segments of the pharmaceutical industry that are highly competitive and rapidly changing. Many large pharmaceutical and biotechnology companies, academic institutions, governmental agencies, and other public and private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research organizations are commercializing or pursuing the development of products for the same molecule, compound, or diseases that we are currently pursuing or may target in the future.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ADHD</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ADHD is a CNS disorder characterized by developmentally inappropriate levels of inattention, hyperactivity, and impulsivity. ADHD affects an estimated 6% to 9% of all school-age children, and an estimated 3% to 5% of adults in the U.S. An estimated 50% of children with ADHD continue to meet the criteria for ADHD into adolescence. Diagnosis of ADHD requires a comprehensive clinical evaluation based on identifying patients who exhibit the core symptoms of inattention, hyperactivity, and impulsivity. Although many patients may be inattentive, hyperactive, or impulsive, the level of severity and degree of functional impairment, and considerations as to what may be behind the underlying symptoms determine which patients meet the diagnosis and therefore should be treated for ADHD.</w:t>
      </w:r>
    </w:p>
    <w:p>
      <w:pPr>
        <w:spacing w:after="0" w:line="16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Competition in the U.S. ADHD market has increased with the commercial launch of several branded products in recent years, as well as the launch of generic versions of branded drugs, such as Adderall XR, Concerta, Vyvanse, Intuniv, Kapvay and Strattera. Treatment options for ADHD in the U.S. market can be broadly classified as either stimulant or as non-stimulant products.</w:t>
      </w:r>
    </w:p>
    <w:p>
      <w:pPr>
        <w:spacing w:after="0" w:line="1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product, Qelbree, is a novel nonstimulant taken once-daily for full-day exposure. Efficacy and symptom improvement was observed early in treatment in clinical studies. Also, it has a proven safety and tolerability profile, with no evidence of abuse potential in clinical studies. Qelbree was the first novel nonstimulant treatment for ADHD approved by the FDA since 2011.</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Parkinson's Disease</w:t>
      </w:r>
    </w:p>
    <w:p>
      <w:pPr>
        <w:spacing w:after="0" w:line="2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Parkinson's Disease is a progressive neurological disorder that is characterized by a loss of dopamine producing neurons in certain regions of the brain, causing symptoms like tremor, slowness of movement, stiffness, loss of balance, and lack of coordination. PD is the second most common progressive neurodegenerative disorder, affecting 1-2% of individuals 65 years and older. Patients with PD can also be affected with psychological symptoms such as anxiety, depression, aggression, and problems with cognition and memory. As the disease progresses, some patients may lose the ability to independently perform the tasks of daily living.</w:t>
      </w:r>
    </w:p>
    <w:p>
      <w:pPr>
        <w:spacing w:after="0" w:line="14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most commonly prescribed medicine for PD is levodopa. PD patients are frequently prescribed levodopa to help replace dopamine, which is reduced in the brain. However, motor disabilities as a result of levodopa wearing off remain a significant problem for over half of PD patients. Patients in an "OFF" state, including those whose last dose of oral levodopa has worn off and whose next oral dose has not yet begun to take effect, can suffer from reduced coordination or mobility for several hours per day. Carbidopa may be used along with levodopa to improve its efficacy and reduce the amount of levodopa needed to control PD symptoms. There are a number of alternative adjunctive treatment options (FDA-approved and in clinical development) for Parkinson's patients, including various levodopa preparations, dopamine agonists, MAO-B inhibitors, and others.</w:t>
      </w:r>
    </w:p>
    <w:p>
      <w:pPr>
        <w:spacing w:after="0" w:line="14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APOKYN is given as needed as an adjunct to levodopa/carbidopa therapy in PD patients who experience "OFF" episodes. In well-controlled clinical studies, APOKYN injections were effective in treating "OFF" periods, as measured by the motor function subset of the Unified Parkinson's Disease Rating Scale (UPDRS). APOKYN, delivered via an injection pen, is for patients for whom oral levodopa will not sufficiently control "OFF" periods. Patients taking APOKYN saw 95% of "OFF" episodes reversed, with improvement beginning as quickly as 10 minutes post-dosing in clinical studies. With the alternative of immobility and limited function, we believe the rapid and reliable reduction of "OFF" episode symptoms is of utmost importance to patients. APOKYN competes with pro re nata therapies such as Inbrija, and other adjunctive therapies, including NOURIANZ. APOKYN also competes with other products for the treatment of PD, both branded such as VYALEV, and generic, including levodopa products.</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patients who experience significant "OFF" time each day, the Company has developed ONAPGO, formerly known as SPN-830, the first and only subcutaneous apomorphine infusion device for the treatment of motor fluctuations in adults with advanced PD. The infusion may reduce the variability in motor symptoms of PD and offer improved tolerability versus the acute injection route. The FDA approved ONAPGO in February 2025, and the Company will launch ONAPGO in the second quarter of 2025. ONAPGO competes with VYALEV, and with other products for the treatment of PD, both branded and generic, including levodopa products.</w:t>
      </w:r>
    </w:p>
    <w:p>
      <w:pPr>
        <w:spacing w:after="0" w:line="14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For patients not ready to try parenteral therapy, oral MAO-B inhibitors, such as XADAGO, may provide a decrease in "OFF" time of up to one hour per day when combined with appropriate levodopa therapy. In the XADAGO clinical trials, patients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experienced more beneficial "on" time, a time when Parkinson's symptoms are reduced, without troublesome uncontrolled involuntary movement (dyskinesia), compared to those receiving a placebo. The increase in "on" time was accompanied by a reduction in "OFF" time and better scores on a measure of motor function assessed during "on" time than before treatment. XADAGO competes with other MAO-B inhibitors used to treat "OFF" episodes in PD, including rasagiline (AZILECT) and selegiline (Zelapar and EMSAM). XADAGO also competes with other products for the treatment of PD, both branded and generic, including levodopa products.</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GOCOVRI (amantadine) extended-release capsules is the first and only FDA-approved medicine indicated for the treatment of dyskinesia in patients with PD receiving levodopa-based therapy, with or without concomitant dopaminergic medications, and as an adjunctive treatment to levodopa/carbidopa in patients with PD experiencing "OFF" episodes. It is also the only medicine clinically proven to reduce both dyskinesia and “OFF” periods. GOCOVRI, taken once daily at bedtime, provides an initial lag and a slow rise in amantadine concentration during the night, resulting in a high concentration from the morning and throughout the waking day. Additionally, in the clinical trials, the adjunctive use of GOCOVRI did not require changes to dopaminergic therapies.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Epilepsy</w:t>
      </w:r>
    </w:p>
    <w:p>
      <w:pPr>
        <w:spacing w:after="0" w:line="200"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Epilepsy is a complex neurological disorder characterized by the spontaneous recurrence of unprovoked seizures, which are sudden surges of electrical activity in the brain that impair a person's mental and/or physical abilities. Adherence with drug treatment regimens is critically important to achieving effective control for patients with epilepsy. Non-adherence with anti-epileptic drug (AED) therapy is a serious issue and remains the most common cause of breakthrough seizures for patients. Not only is taking all prescribed doses critical to control breakthrough seizures, but the timing of when patients take their prescribed doses can also be crucial.</w:t>
      </w:r>
    </w:p>
    <w:p>
      <w:pPr>
        <w:spacing w:after="0" w:line="14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extended-release products, particularly Trokendi XR and Oxtellar XR, may offer important advantages in the treatment of epilepsy. The release profiles of extended-release products can produce more consistent and steadier plasma concentrations as compared to immediate-release products, potentially resulting in fewer side effects, better tolerability, fewer emergency room visits, improved efficacy, and fewer breakthrough seizures. In addition, Trokendi XR's and Oxtellar XR's once-daily dosing is designed to improve patient adherence over the current immediate release products, which must be taken multiple times per day. We believe a once-daily dosing regimen improves adherence, making it more probable that patients take their medication and maintain sufficient levels of medication in their bloodstreams. Extended-release products may help patients improve adherence and, consequently, help patients enjoy a better quality of life.</w:t>
      </w:r>
    </w:p>
    <w:p>
      <w:pPr>
        <w:spacing w:after="0" w:line="148"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Trokendi XR competes with all immediate-release and extended-release topiramate products, including Topamax, Qudexy XR, and other generic topiramate products. Oxtellar XR competes with all immediate-release and extended-release oxcarbazepine products, including Trileptal and other generic oxcarbazepine products. Both Oxtellar XR and Trokendi XR compete with other anti-epileptic products, both branded and generic. Many medications are used to treat epilepsy, including topiramate, oxcarbazepine, acetazolamide, brivaracetam, carbamazepine, clobazam, lacosamide, phenytoin, valproic acid, lamotrigine, gabapentin, levetiracetam phenobarbital, and zonisamide.</w:t>
      </w:r>
    </w:p>
    <w:p>
      <w:pPr>
        <w:spacing w:after="0" w:line="1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addition, when considering treatment regimens for patients with epilepsy, neurologists and epileptologists take into consideration the MOA of the different AEDs that are available. By combining several different MOAs, it is sometimes possible to get significantly better seizure control. We acquired SPN-817, an antiepileptic, which we believe has an MOA different from that of other products and can therefore potentially represent a unique additional treatment alternative.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Migraine</w:t>
      </w:r>
    </w:p>
    <w:p>
      <w:pPr>
        <w:spacing w:after="0" w:line="18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Migraine is a painful, complex neurological disorder consisting of recurring painful attacks that can significantly disrupt time with loved ones, education, and careers. Migraine headaches are often characterized by throbbing pain, extreme sensitivity to light or sound, and potentially, nausea and vomiting. The World Health Organization categorizes migraine as one of the most disabling medical illnesses worldwide. The American Research Foundation categorizes migraine as the third most prevalent illness in the world, and nearly 1 in 4 U.S. households includes someone with migraines. Migraine is estimated to affect over 39 million individuals in the U.S.</w:t>
      </w:r>
    </w:p>
    <w:p>
      <w:pPr>
        <w:spacing w:after="0" w:line="15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As in epilepsy, we believe extended-release products, particularly Trokendi XR, may offer important advantages for the treatment of migraines. Trokendi XR also competes with other products used for the prevention of migraine headaches. Most notably, this includes anti-CGRPs (calcitonin gene related peptide), which is a class of products first introduced in 2018; Botox; beta-blockers; valproic acid; and amitriptyline.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Cervical Dystonia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Cervical dystonia, also known as spasmodic torticollis, is a condition characterized by involuntary muscle contractions in the neck, which cause the head to twist uncontrollably into an abnormal, often painful position. It is a rare disorder, most often presenting in middle age, whose symptoms begin gradually, worsen, and then plateau over a period of months. Estimates of the prevalence of cervical dystonia vary considerably, from 20 to 4,100 per million individuals. Injections of botulinum toxin into affected neck muscles can create temporary relief from symptoms.</w:t>
      </w:r>
    </w:p>
    <w:p>
      <w:pPr>
        <w:spacing w:after="0" w:line="13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well-controlled studies, botulinum toxins like MYOBLOC have been shown to improve symptoms as measured on the Toronto Western Spasmodic Torticollis Rating Scale, including pain. Based on clinical studies, MYOBLOC injections offer patients struggling with painful cervical dystonia symptoms relief as early as two weeks after injection, with the duration of effect between 12-16 weeks.</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MYOBLOC is the only available botulinum toxin B, whereas other available toxins are type A. MYOBLOC competes with type A toxins such as Botox, Dysport, and Xeomin. MYOBLOC also competes with oral agents used to treat cervical dystonia, including generic baclofen, anticholinergics, benzodiazepines, and tetrabenazine.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Sialorrhea</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Sialorrhea can occur in conjunction with several neurologic disorders, such as amyotrophic lateral sclerosis (ALS), cerebral palsy (CP), PD, or as a side effect of some medications. It is characterized by overactive salivary glands. In adults, PD is the most common cause of sialorrhea, with 70%–80% of PD patients experiencing symptoms. In 30%–80% of schizophrenic patients taking clozapine, sialorrhea is evident. In addition to being embarrassing, complications of sialorrhea include aspiration, infection, skin breakdown, and bad odor.</w:t>
      </w:r>
    </w:p>
    <w:p>
      <w:pPr>
        <w:spacing w:after="0" w:line="13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MYOBLOC competes with Xeomin (incobotulinumtoxinA) for the treatment of sialorrhea in adults. Other pharmacologic treatments used to treat sialorrhea include generic glycopyrrolate tablets as well as behavior modification.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currently depend on third-party commercial manufacturing organizations (CMOs) for all manufacturing operations, including the production of raw materials, dosage form product, and product packaging. This encompasses products for commercial use, as well as some products for preclinical and clinical research. We do not own or operate manufacturing facilities for the production of any of our product candidates beyond that used in Phase 2 clinical trials, nor do we have plans to develop our own manufacturing operations in the foreseeable future to support Phase 3 clinical trials or commercial production. We currently employ internal resources to manage our manufacturing contractors.</w:t>
      </w:r>
    </w:p>
    <w:p>
      <w:pPr>
        <w:spacing w:after="0" w:line="14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agreements with CMOs headquartered in North America, including: Patheon Pharmaceuticals, Inc. (a subsidiary of Thermo Fisher Scientific Inc.), Packaging Coordinators, Inc., Aphena Pharma Solutions, and Catalent Pharma Solutions, Europe, and Asia for the manufacturing and packaging of some of our commercial products, including those of our subsidiaries, as well as for our pipeline product candidates. For Qelbree, Trokendi XR, GOCOVRI, and Oxtellar XR we currently rely on third-party CMOs for the manufacturing and packaging of final commercial products. We rely on third-party CMOs in Asia for the manufacturing of bulk drug substance for Trokendi XR and Oxtellar XR and rely on a third-party CMO in Europe for the raw materials and manufacturing of Qelbree and GOCOVRI. With respect to GOCOVRI and Qelbree, we have an additional manufacturer of bulk drug substance. These CMOs offer a comprehensive range of contract manufacturing and packaging services.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purchase APOKYN, ONAPGO, MYOBLOC, and XADAGO, as finished goods. APOKYN is manufactured and packaged in Europe for the U.S. market and is supplied to us by our licensing partner, Britannia. ONAPGO is manufactured in Europe, supplied to us by Britannia, and packaged in the U.S.. Britannia (a subsidiary of Stada Arzneimittel AG) also supplies injectable apomorphine to the European market under the brand name Apo-go. MYOBLOC is manufactured and packaged in Europe by Merz GmbH &amp; Co. KGaA (Merz). Under the contract manufacturing agreement with Merz for the manufacture and supply of MYOBLOC, the Company has an annual minimum purchase requirement of MYOBLOC amounting to an estimated €3.9 million. XADAGO is manufactured and packaged in Europe by Zambon S.p.A. (Zambon).</w:t>
      </w:r>
    </w:p>
    <w:p>
      <w:pPr>
        <w:spacing w:after="0" w:line="145"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Part I, Item 1A—Risk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we fail to produce our products and product candidates in the volumes that we require on a timely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basis or fail to comply with stringent regulations applicable to pharmaceutical drug manufacturers, we may face delays in the development and commercialization of our products and product candidates or be required to withdraw our products from the market </w:t>
      </w:r>
      <w:r>
        <w:rPr>
          <w:rFonts w:ascii="Times New Roman" w:cs="Times New Roman" w:eastAsia="Times New Roman" w:hAnsi="Times New Roman"/>
          <w:sz w:val="18"/>
          <w:szCs w:val="18"/>
          <w:color w:val="auto"/>
        </w:rPr>
        <w:t>for risks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and supply of our products and product candidates.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Technology Platforms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 successful track record of developing and launching novel products by applying proprietary formulation technologies to known drugs to improve their side effect profile or improve patient adherence. In addition, we have developed new indications for existing therapies. Our key proprietary technology platforms include: Microtrol, Solutrol, and EnSoTrol. These technologies have been utilized to create novel, customized product profiles designed to enhance efficacy, reduce the frequency of dosing to improve patient adherence and improve tolerability. Our technologies have been used to create ten commercial products, including our products: Qelbree, Trokendi XR and Oxtellar XR; Adderall XR (developed for Shire, which has been acquired by Takeda Pharmaceutical Company); Intuniv (developed for Shire); Mydayis (developed for Shire); Orenitram (developed for United Therapeutics Corporation); and Namzaric (developed for Allergan plc).</w:t>
      </w:r>
    </w:p>
    <w:p>
      <w:pPr>
        <w:spacing w:after="0" w:line="14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are also engaged in generating and assessing New Chemical Entities (NCEs). These NCEs are generated by leveraging our expertise in structure function relationships in active molecules. Our NCEs are being assessed in preclinical pharmacology models for CNS activity and are advancing towards Investigational New Drug application (IND) enabling toxicology studies to support potential future clinical investigation.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Exclusivity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including our subsidiaries, continue to build our intellectual property portfolio to provide protection for our technologies, products, and product candidates. We, including our subsidiaries, seek patent protection, where appropriate, both in the U.S. and internationally for products and product candidates.</w:t>
      </w:r>
    </w:p>
    <w:p>
      <w:pPr>
        <w:spacing w:after="0" w:line="14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policy is to protect our innovations and proprietary products, and that of our subsidiaries, by, among other things, filing patent applications in the U.S. and abroad, including Europe, Canada, and other countries when appropriate. We, including our subsidiaries, also rely on trade secrets, know-how, proprietary knowledge, continuing technological innovation, and in-licensing opportunities to develop and maintain our proprietary position. Neither we, nor our subsidiaries can be sure that patents will be granted with respect to our pending patent applications or with respect to any patent applications filed by us, or any of our subsidiaries in the future, nor can we be sure that any of our existing patents or any patents that may be granted to us, or any of our subsidiaries in the future will be commercially useful in protecting our technology, our products, or those of our subsidiaries. Neither we, nor any of our subsidiaries can be sure that any patents, if granted, will sustain a legal challenge.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8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commercial products, including those of our subsidiaries, covered by active patents include Trokendi XR, Oxtellar XR, Qelbree, GOCOVRI, Osmolex ER and XADAGO. We, or our subsidiaries, own all the issued patents for Trokendi XR, Oxtellar XR, Qelbree, GOCOVRI, Osmolex ER, as well as the pending U.S. patent applications for Qelbree and GOCOVRI. We have a license from Zambon for the U.S. patents that cover XADAGO.</w:t>
      </w:r>
    </w:p>
    <w:p>
      <w:pPr>
        <w:spacing w:after="0" w:line="147"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ongoing patent litigation concerning Trokendi XR. For more information, refer to </w:t>
      </w:r>
      <w:r>
        <w:rPr>
          <w:rFonts w:ascii="Times New Roman" w:cs="Times New Roman" w:eastAsia="Times New Roman" w:hAnsi="Times New Roman"/>
          <w:sz w:val="18"/>
          <w:szCs w:val="18"/>
          <w:i w:val="1"/>
          <w:iCs w:val="1"/>
          <w:color w:val="auto"/>
        </w:rPr>
        <w:t>Part I, Item 3—Legal Proceedings</w:t>
      </w:r>
      <w:r>
        <w:rPr>
          <w:rFonts w:ascii="Times New Roman" w:cs="Times New Roman" w:eastAsia="Times New Roman" w:hAnsi="Times New Roman"/>
          <w:sz w:val="18"/>
          <w:szCs w:val="18"/>
          <w:color w:val="auto"/>
        </w:rPr>
        <w:t xml:space="preserve"> in this Annual Report on Form 10-K.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Qelbree</w:t>
      </w:r>
    </w:p>
    <w:p>
      <w:pPr>
        <w:spacing w:after="0" w:line="187" w:lineRule="exact"/>
        <w:rPr>
          <w:sz w:val="20"/>
          <w:szCs w:val="20"/>
          <w:color w:val="auto"/>
        </w:rPr>
      </w:pPr>
    </w:p>
    <w:p>
      <w:pPr>
        <w:ind w:right="280" w:firstLine="648"/>
        <w:spacing w:after="0" w:line="277" w:lineRule="auto"/>
        <w:rPr>
          <w:sz w:val="20"/>
          <w:szCs w:val="20"/>
          <w:color w:val="auto"/>
        </w:rPr>
      </w:pPr>
      <w:r>
        <w:rPr>
          <w:rFonts w:ascii="Times New Roman" w:cs="Times New Roman" w:eastAsia="Times New Roman" w:hAnsi="Times New Roman"/>
          <w:sz w:val="17"/>
          <w:szCs w:val="17"/>
          <w:color w:val="auto"/>
        </w:rPr>
        <w:t>We have three families of pending U.S. non-provisional and foreign counterpart patent applications for Qelbree. Patents, if issued, could expire from 2029 to 2035. We have patents issued in the U.S., Canada, and certain countries in Europe covering a method of treating ADHD using viloxazine hydrochloride. In a second family, covering the novel synthesis process of the active ingredient, we have patents issued in the U.S. as well as in certain foreign countries. In a third family, we have four patents issued in the U.S. covering modified release formulations of viloxazine hydrochloride, three of which cover Qelbree. We also have patents issued in certain foreign countries. We own all the issued patents and the pending patent applications.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GOCOVRI</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patent portfolio covering GOCOVRI includes 19 U.S. patents. We have additional pending applications containing method and composition claims relating to the pharmacokinetic profile and dosing, and formulations of amantadine extended release. The issued patents expire through 2038. These patents and patent applications are owned by Adamas Operations and, as of the first quarter of 2022 are licensed to Supernus Pharmaceuticals, Inc.</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0" w:firstLine="648"/>
        <w:spacing w:after="0" w:line="312" w:lineRule="auto"/>
        <w:rPr>
          <w:sz w:val="20"/>
          <w:szCs w:val="20"/>
          <w:color w:val="auto"/>
        </w:rPr>
      </w:pPr>
      <w:r>
        <w:rPr>
          <w:rFonts w:ascii="Times New Roman" w:cs="Times New Roman" w:eastAsia="Times New Roman" w:hAnsi="Times New Roman"/>
          <w:sz w:val="17"/>
          <w:szCs w:val="17"/>
          <w:color w:val="auto"/>
        </w:rPr>
        <w:t>Prior to our acquisition of Adamas, Adamas entered into settlement agreements with third parties, permitting the sale of a generic version of GOCOVRI (amantadine) extended-release capsules (including for any new indications approved under the GOCOVRI NDA) on or after June 4, 2029.</w:t>
      </w:r>
    </w:p>
    <w:p>
      <w:pPr>
        <w:spacing w:after="0" w:line="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Oxtellar XR</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extended-release oxcarbazepine patent portfolio currently includes 14 U.S. patents, 11 of which cover Oxtellar XR. The 11 issued U.S. patents covering Oxtellar XR will expire no earlier than 2027. We own all of the issued patents and the pending U.S. patent applications. We also own additional foreign patents for extended-release oxcarbazepine.</w:t>
      </w:r>
    </w:p>
    <w:p>
      <w:pPr>
        <w:spacing w:after="0" w:line="14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entered into settlement and license agreements with third parties, permitting the sale of a generic version of Oxtellar XR beginning in September 2024.</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Trokendi XR</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currently have 10 U.S. patents that cover Trokendi XR. We own all the issued patents. We also own additional foreign patents for extended-release topiramate. The ten issued U.S. patents covering Trokendi XR will expire no earlier than 2027.</w:t>
      </w:r>
    </w:p>
    <w:p>
      <w:pPr>
        <w:spacing w:after="0" w:line="13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settlement agreements with third parties, permitting the sale of a generic version of Trokendi XR beginning in January 2023 and entitling the Company to receive royalties on those sales.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XADAGO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patent portfolio covering XADAGO has 3 U.S. patents licensed from Zambon. These patents will expire from 2027 to 2031.</w:t>
      </w:r>
    </w:p>
    <w:p>
      <w:pPr>
        <w:spacing w:after="0" w:line="19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settlement agreements with third parties, permitting the sale of a generic version of XADAGO beginning in December 2027, or earlier under certain circumstances.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ONAPGO</w:t>
      </w:r>
    </w:p>
    <w:p>
      <w:pPr>
        <w:spacing w:after="0" w:line="18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 February 2025, ONAPGO received Orphan Drug Designation in the U.S. from the FDA. ONAPGO received seven years of U.S exclusivity from the time of approval by the FDA.</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have one patent issued in the U.S., and in China, Mexico, and certain other foreign countries relating to extended-release formulations of huperzine. We additionally have pending patent applications in the U.S. and certain foreign countries.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April 2020 Development Agreement with Navitor Pharmaceuticals, Inc. (Navitor Inc.), we have an exclusive option to license or acquire NV-5138 in all world territories, prior to initiation of the Phase 3 clinical program. NV-5138 has multiple patents issued covering composition of matter, various methods of use, etc. in the U.S. and certain other foreign countries. The issued patents have expiration dates of 2036-2038 or beyond. There are additional pending patent applications in the U.S. and certain foreign countries.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Intellectual Property Rights</w:t>
      </w:r>
    </w:p>
    <w:p>
      <w:pPr>
        <w:spacing w:after="0" w:line="189"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18"/>
          <w:szCs w:val="18"/>
          <w:color w:val="auto"/>
        </w:rPr>
        <w:t>We, including our subsidiaries, seek trademark protection in the U.S. and internationally, where available and when appropriate. We, including our subsidiaries, have filed for trademark protection for several marks, which are used in connection with our pharmaceutical research and development collaborations as well as with our products and those of our subsidiaries. We or our subsidiaries are the owner/licensee of various U.S. federal trademark registrations (®) and registration applications (TM), including the following marks referred to in this Annual Report on Form 10-K, pursuant to applicable U.S. intellectual property laws: "Supernus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"Microtrol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"Osmolex 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"Namzaric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"ONAPGO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and the registered Supernus Pharmaceuticals logo.</w:t>
      </w:r>
    </w:p>
    <w:p>
      <w:pPr>
        <w:spacing w:after="0" w:line="8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including our subsidiaries, may find it necessary or prudent to obtain licenses from third party IP holders. Where licenses are readily available at a reasonable cost, such licenses are considered a normal cost of doing business. In other instances, however, we or our subsidiaries may use the results of freedom-to-operate inquiries and internal analyses to guide</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our early-stage research away from areas where we are likely to encounter obstacles in the form of third party IP. For example, where a third party holds relevant IP and is a direct competitor, a license might not be available on commercially reasonable terms or at all. We, and our subsidiaries, strive to identify potential third party IP issues in the early stages of our research programs in order to minimize the cost and disruption of resolving such issues.</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To protect our competitive position and that of our subsidiaries, it may be necessary to enforce our patent rights through litigation against infringing third parties. See </w:t>
      </w:r>
      <w:r>
        <w:rPr>
          <w:rFonts w:ascii="Times New Roman" w:cs="Times New Roman" w:eastAsia="Times New Roman" w:hAnsi="Times New Roman"/>
          <w:sz w:val="18"/>
          <w:szCs w:val="18"/>
          <w:i w:val="1"/>
          <w:iCs w:val="1"/>
          <w:color w:val="auto"/>
        </w:rPr>
        <w:t>Part I, Item 3—Legal Proceedings</w:t>
      </w:r>
      <w:r>
        <w:rPr>
          <w:rFonts w:ascii="Times New Roman" w:cs="Times New Roman" w:eastAsia="Times New Roman" w:hAnsi="Times New Roman"/>
          <w:sz w:val="18"/>
          <w:szCs w:val="18"/>
          <w:color w:val="auto"/>
        </w:rPr>
        <w:t xml:space="preserve">. Litigation to enforce our own patent rights or those of our subsidiaries is subject to uncertainties that cannot be quantified in advance. In the event of an adverse outcome in litigation, we or our subsidiaries could be prevented from commercializing a product or precluded from using certain aspects of our technology platforms. This could have a material adverse effect on our business or that of our subsidiaries. In addition, litigation involving our patents or those of our subsidiaries carries the risk that one or more of our patents or those of our subsidiaries will be held invalid (in whole or in part; on a claim-by-claim basis) or held unenforceable. Such an adverse court ruling could allow third parties to commercialize products or use technologies that are similar to ours and then compete directly with us, without compensation to us or our subsidiaries. In addition, third parties could allege that our products or those of our subsidiaries infringe their intellectual property rights and pursue legal action against the Company or any of its subsidiaries. See </w:t>
      </w:r>
      <w:r>
        <w:rPr>
          <w:rFonts w:ascii="Times New Roman" w:cs="Times New Roman" w:eastAsia="Times New Roman" w:hAnsi="Times New Roman"/>
          <w:sz w:val="18"/>
          <w:szCs w:val="18"/>
          <w:i w:val="1"/>
          <w:iCs w:val="1"/>
          <w:color w:val="auto"/>
        </w:rPr>
        <w:t>Part I, Item 1A—Risk Factors</w:t>
      </w:r>
      <w:r>
        <w:rPr>
          <w:rFonts w:ascii="Times New Roman" w:cs="Times New Roman" w:eastAsia="Times New Roman" w:hAnsi="Times New Roman"/>
          <w:sz w:val="18"/>
          <w:szCs w:val="18"/>
          <w:color w:val="auto"/>
        </w:rPr>
        <w:t xml:space="preserve"> for risk factors related to intellectual property.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Application Process</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U.S. patent system permits the filing of provisional and non-provisional patent applications. A non-provisional patent application is submitted to the United States Patent and Trademark Office (USPTO) and can mature into a patent once the USPTO determines that the claimed invention meets the standards for patentability. The term of individual patents depends upon the legal term of the patents in the countries in which they are obtained. In most countries in which we file, the patent term is 20 years from the earliest date of filing a non-provisional patent application. In the U.S., a patent's term may be lengthened via a patent term adjustment (PTA), which compensates a patentee for administrative delays by the USPTO in granting a patent.</w:t>
      </w:r>
    </w:p>
    <w:p>
      <w:pPr>
        <w:spacing w:after="0" w:line="14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 patent’s term can be shortened through a process called a "terminal disclaimer." This process can be undertaken when a patent application is considered too similar to another patent owned by the same applicant. Without this process an applicant could be barred from obtaining a new related patent because it would be deemed to be an obvious variant of an existing patent. By filing a terminal disclaimer, a new patent can be issued at the cost of the applicant acknowledging that the new patent cannot extend beyond the expiration of the original patent. A new patent issued after the filing of a terminal disclaimer cannot be asserted against others unless the owner of the new patent also owns the previously existing patent that was the subject of the terminal disclaimer. Recent legal decisions have shown that filing a terminal disclaimer can reduce any extra time added to a patent’s term due to delays in the patent approval process. Patent applicants typically avoid filing terminal disclaimers when doing so would negatively affect their interests.</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evaluating the patentability of a claimed invention, the filing date of a non-provisional patent application is used by the USPTO to determine what information constitutes prior art. If certain requirements are satisfied, a non-provisional patent application can claim the benefit of the filing date of a previously filed provisional patent application. In such an instance, the filing date accorded to the provisional patent application may supersede information that otherwise could preclude the patentability of an invention.</w:t>
      </w:r>
    </w:p>
    <w:p>
      <w:pPr>
        <w:spacing w:after="0" w:line="15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term of a patent that covers an FDA-approved drug may also be eligible for patent term extension (PTE). This permits the patent term to be extended as compensation for that portion of a patent term lost during the FDA regulatory review process. The Drug Price Competition and Patent Term Restoration Act of 1984, or the Hatch-Waxman Amendments, permits a PTE of up to five years beyond the expiry date of the patent. The length of the PTE is related to the length of time the drug is under FDA review. However, the patent extension cannot extend the remaining term of a patent beyond a total of 14 years from the date of product approval. Only one patent for an approved drug may be extended. Similar provisions to extend the term of a patent that covers an approved drug are available in Europe and other foreign jurisdictions.</w:t>
      </w:r>
    </w:p>
    <w:p>
      <w:pPr>
        <w:spacing w:after="0" w:line="14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future, if any of our product candidates receive FDA or other regulatory approval, we may be able to apply for PTEs on patents covering those products. Depending upon the timing, duration, and specifics of FDA approval and the issuance of a U.S. patent, we may obtain limited patent term restoration.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Licensing Arrangements</w:t>
      </w:r>
    </w:p>
    <w:p>
      <w:pPr>
        <w:spacing w:after="0" w:line="20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including our subsidiaries, obtained exclusive licenses from third parties for proprietary rights to support our, and our subsidiaries', commercial products and product candidates. Under these in-licensing agreements, we or our subsidiaries may be required to pay certain amounts upon the achievement of defined milestones. If these products are ultimately commercialized,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or the applicable subsidiary are also obligated to pay royalties to third parties, computed as a percentage of net product sales, for each respective product under a license agreement.</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including our subsidiaries, also have entered into out-licensing agreements to license our intellectual property and technology or that of our subsidiaries to third parties. Under these out-license agreements, we or our subsidiaries may be entitled to receive certain amounts upon the achievement of defined milestones and royalties from third parties, generally computed as a percentage of net product sales, for each respective product under a license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APOKYN and ONAPGO (apomorphine hydrochloride)</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2016, we entered into an Amended and Restated Distribution, Development, Commercialization, and Supply Agreement with Britannia that grants us certain intellectual property and product rights in relation to APOKYN, including the right to use and market APOKYN in the United States (Territory). Additionally, under the agreement, Britannia retains certain intellectual property and product rights in relation to APOKYN, including the right to use and market APOKYN in the rest of the world, excluding the United States. Under the Agreement, Britannia has an obligation to supply us with APOKYN for our marketing and sale of the product.</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agreement, we are obligated to pay Britannia a royalty based upon U.S. net sales, adjusted for other product related costs for APOKYN, ONAPGO (formerly known as SPN-830), and any other commercial products jointly developed under the agreement. The parties have also agreed to a cost sharing arrangement for the development of new products beyond APOKYN. Under the agreement, we are obligated to pay more than half of the related costs associated with the development of ONAPGO (formerly known as SPN-830) or other new products that are commercialized solely by the Company in the U.S. For costs associated with new products that are commercialized both inside and outside the Territory, we are obligated to pay less than half of the related costs.</w:t>
      </w:r>
    </w:p>
    <w:p>
      <w:pPr>
        <w:spacing w:after="0" w:line="14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have agreed to use commercially reasonable efforts to develop and commercialize products under the agreement. The initial 15 year term of the agreement is subject to automatic renewal periods unless canceled by either party. Either party may terminate the agreement under certain circumstances, including a material breach of the agreement by the other.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XADAGO</w:t>
      </w:r>
    </w:p>
    <w:p>
      <w:pPr>
        <w:spacing w:after="0" w:line="18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February 2016, we entered into a License and Distribution Agreement and a Supply Agreement with Zambon. Under the License and Distribution Agreement, we are the exclusive distributor of XADAGO in the U.S. and we are prohibited from selling or distributing in the U.S. certain product that compete with XADAGO. Also, Zambon is eligible to receive up to $30.0 million in future payments upon the achievement of sales-based milestones, which are based upon specified annual net product sales of XADAGO in the U.S. During the term of the License and Distribution Agreement, we are also obligated to pay a royalty on net product sales of XADAGO in the U.S. In the event that XADAGO annual net sales exceed the specified U.S. annual net product sales thresholds, the royalty percent increases and could go as high as the mid-teens.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Supply Agreement, we must purchase from Zambon and Zambon must provide to us all XADAGO finished products for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agreed to use commercially reasonable efforts to develop and commercialize XADAGO under the agreement. Either party may terminate the agreement under certain circumstances, including a material breach of the agreement by the other.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MYOBLOC</w:t>
      </w:r>
    </w:p>
    <w:p>
      <w:pPr>
        <w:spacing w:after="0" w:line="18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May 2004, we entered into an asset purchase agreement with a third party resulting in us owning the worldwide rights to MYOBLOC in exchange for us paying a low double-digit royalty based on U.S. annual net sales of MYOBLOC. We make royalty payments to Elan Pharmaceuticals, LLC, a subsidiary of Perrigo Pharma International DAC. While we currently have no intention of seeking approval in the U.S. for cosmetic use, if MYOBLOC is so approved, a milestone payment would be due and the royalty rate will become subject to certain reductions based on cosmetic use net sales. We also have the right under the agreement to make use of, develop and offer for sale worldwide products containing Botulinum Toxin Type B. The agreement may not be terminated for convenience.</w:t>
      </w:r>
    </w:p>
    <w:p>
      <w:pPr>
        <w:spacing w:after="0" w:line="16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have a contract manufacturing agreement with Merz Pharma GmbH &amp; Co. KGaA (Merz) for the manufacture and supply of MYOBLOC (Merz Agreement). Pursuant to the Merz Agreement, Merz is required to provide a dedicated manufacturing facility including a stand-alone building, dedicated clean room suites, dedicated manufacturing and purification equipment, and filling and packaging production lines (collectively, the manufacturing facility) to manufacture finished products. The Merz Agreement will expire in July 2027, unless the Company and Merz mutually agree to extend the term. The Merz</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Agreement may not be terminated for convenience. Under the terms of the Merz Agreement, the Company is required to purchase a minimum quantity of finished products on an annual basis. This minimum purchase requirement represents the in-substance fixed contract consideration associated with the dedicated manufacturing facility. The Company has an annual minimum purchase quantity requirement of finished products.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2018, we entered into a merger agreement to acquire Biscayne Neurotherapeutics (Biscayne), a privately-held company developing a novel treatment for epilepsy (SPN-817). Through this agreement, we obtained worldwide rights, excluding certain markets in Asia where rights have been previously out-licensed, to SPN-817. SPN-817 has received Orphan Drug Designation from the FDA for the treatment of Dravet Syndrome, a severe form of childhood epilepsy and Lennox-Gastaut Syndrome. We may be obligated to pay up to $73 million to the prior Biscayne security holders if certain development milestones are achieved and up to an additional $95 million if certain sales milestones are achieved. In addition, we will be obligated to pay a low single digit royalty on net sales to the prior Biscayne security holders and any applicable royalties to third parties for the use of in-licensed IP. The maximum combined royalty we will pay to all parties on net product sales is approximately 12%, depending on the IP covering the commercial product and the applicable tiered sales levels.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187"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In April 2020, we entered into a development agreement (the Development Agreement) with Navitor Inc. We can terminate the Development Agreement upon 30 days' notice. Under the terms of the Development Agreement, the Company and Navitor Inc. will jointly conduct a Phase 2 clinical program for NV-5138 (SPN-820) for treatment-resistant depression. We will bear all of the Phase 1 and Phase 2 development costs incurred by either party, up to a maximum of $50 million, which amount could be increased under the terms of the Development Agreement upon Navitor Inc.’s request and the Company’s consent. In 2020, we paid a one-time, nonrefundable, and non-creditable fee of $10 million for the option to acquire or license NV-5138 (SPN-</w:t>
      </w:r>
    </w:p>
    <w:p>
      <w:pPr>
        <w:spacing w:after="0" w:line="3" w:lineRule="exact"/>
        <w:rPr>
          <w:sz w:val="20"/>
          <w:szCs w:val="20"/>
          <w:color w:val="auto"/>
        </w:rPr>
      </w:pPr>
    </w:p>
    <w:p>
      <w:pPr>
        <w:ind w:right="120" w:firstLine="8"/>
        <w:spacing w:after="0" w:line="251"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made a $15 million equity investment representing approximately 13% ownership in Navitor Inc. There are also certain additional payments which could be incurred by us that are contingent upon Navitor Inc. achieving defined milestones. These payments include an additional license or acquisition fee depending on whether we ultimately license or acquire NV-5138 (SPN-820), and subsequent clinical, regulatory and sales milestone payments. The total payments, exclusive of the royalty payments on net sales of NV-5138 (SPN-820) and development costs paid by us under the agreement, have the potential to reach $410 million to $475 million, which includes an aggregate upfront payment of $25 million paid in 2020 for the option to acquire or license NV-5138 (SPN-820) and the equity investment, an additional license or acquisition fee depending on whether we ultimately license or acquire NV-5138 (SPN-820), and subsequent clinical, regulatory and sales based milestone payments. We also will have the first right of refusal for any compound with a similar mechanism of action to NV-5138 (SPN-820) on mTORC1 in the central nervous system.</w:t>
      </w:r>
    </w:p>
    <w:p>
      <w:pPr>
        <w:spacing w:after="0" w:line="15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to entering into the Development Agreement in April 2020, as above mentioned, we acquired Series D Preferred Shares of Navitor Inc. (the Navitor Shares), an equity investment representing an approximately 13% ownership position in Navitor Inc. As part of a legal restructuring in March 2021, our Navitor Inc. Shares were exchanged for membership interests in Navitor Pharmaceutics LLC (Navitor LLC), which became the sole shareholder of Navitor Inc.</w:t>
      </w:r>
    </w:p>
    <w:p>
      <w:pPr>
        <w:spacing w:after="0" w:line="15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2024, we consented to payment of additional Phase 2 development costs for NV-5138 (SPN-820) as they are incurred, but reserve the right to terminate payment of future development costs at our discretion.</w:t>
      </w:r>
    </w:p>
    <w:p>
      <w:pPr>
        <w:spacing w:after="0" w:line="119" w:lineRule="exact"/>
        <w:rPr>
          <w:sz w:val="20"/>
          <w:szCs w:val="20"/>
          <w:color w:val="auto"/>
        </w:rPr>
      </w:pPr>
    </w:p>
    <w:p>
      <w:pPr>
        <w:ind w:right="300" w:firstLine="648"/>
        <w:spacing w:after="0" w:line="46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Part II, Item 8, Financial Statements and Supplementary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in the Notes to the Consolidated Financial Statements. </w:t>
      </w:r>
      <w:r>
        <w:rPr>
          <w:rFonts w:ascii="Times New Roman" w:cs="Times New Roman" w:eastAsia="Times New Roman" w:hAnsi="Times New Roman"/>
          <w:sz w:val="18"/>
          <w:szCs w:val="18"/>
          <w:i w:val="1"/>
          <w:iCs w:val="1"/>
          <w:color w:val="auto"/>
        </w:rPr>
        <w:t>Namzaric</w:t>
      </w:r>
    </w:p>
    <w:p>
      <w:pPr>
        <w:spacing w:after="0" w:line="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Namzaric (memantine hydrochloride extended release and donepezil hydrochloride) capsules for the treatment of moderate to severe dementia of an Alzheimer's type is currently marketed by Allergan plc under an exclusive license agreement between Adamas Pharmaceuticals and Forest Laboratories Holdings Limited ("Forest"), an indirect, wholly-owned subsidiary of Allergan plc (collectively, "Allergan") in the United States. Adamas Pharmaceuticals receives royalties on net sales of Namzaric from May 2020. Allergan is responsible for all manufacturing related to Namzaric.</w:t>
      </w:r>
    </w:p>
    <w:p>
      <w:pPr>
        <w:spacing w:after="0" w:line="13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November 2012, Allergan was granted an exclusive license, with right to sublicense, certain of Adamas Pharmaceuticals' intellectual property rights relating to human therapeutics containing memantine in the United States. In connection with these rights, Allergan markets and sells Namzaric (memantine and donepezil hydrochlorides) extended-release capsules and NAMENDA XR (memantine hydrochloride) extended-release capsules for the treatment of moderate to severe dementia related to Alzheimer's disease.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Adamas Pharmaceuticals is entitled to receive royalties on net sales in the United States by Allergan, its affiliates, or any of its sublicensees of controlled-release versions of memantine products covered by the terms of the license agreement. Allergan's obligation to pay royalties with respect to fixed-dose memantine-donepezil products, including Namzaric, continues until the later of (i) 15 years after the commercial launch of the first fixed-dose memantine-donepezil product by Allergan in the United States or (ii) the expiration of the Orange Book listed patents for which Allergan obtained rights from Adamas covering such product. However, Allergan's obligation to pay royalties for any product covered by the license is eliminated in any quarter where there is significant competition from generics.</w:t>
      </w:r>
    </w:p>
    <w:p>
      <w:pPr>
        <w:spacing w:after="0" w:line="14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Royalties recognized from Allergan are in the low double digits to mid-teens, as a percent of net sales of Namzaric in the United States. Based on recent trends of Namzaric sales, the tiered royalty is expected to be in the low double digits through the term of the agreement. Based on the current settlement agreements with the Namzaric Abbreviated New Drug Application (ANDA) filers to date, the earliest date on which any of these agreements grant a license to market a Namzaric ANDA filer's generic version of Namzaric is January 1, 2025 (or earlier in certain circumstances). Alternatively, the Namzaric ANDA filers with the earliest license date have the option to launch an authorized generic version of Namzaric beginning on January 1, 2026 instead of launching their own generic version of Namzaric on January 1, 2025. In January 2025, Amneal Pharmaceuticals, Inc. received approval from the FDA and has launched a generic version of Namzaric. Adamas expects that it will not receive royalties from sale of Namzaric after the entry of the generic version of Namzaric in January 2025.</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Adamas expects that it will not receive royalties on sales of NAMENDA XR because of the entry of multiple generic versions of NAMENDA XR.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Other Third Parties</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has granted other companies, including United Therapeutics Corporation and Takeda Pharmaceuticals Company Ltd., rights to utilize certain of its proprietary technologies in the development of certain of their products. These technologies were used by these companies to develop certain other products, including Orenitram (treprostinil) and Mydayis. We receive royalties under these arrangements based on net product sales of certain products developed using the licensed technologies. In some cases, we are also entitled to milestone payments.</w:t>
      </w:r>
    </w:p>
    <w:p>
      <w:pPr>
        <w:spacing w:after="0" w:line="13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With respect to Qelbree, Oxtellar XR, and Trokendi XR, we have entered into collaboration and licensing agreements with third parties to commercialize these products outside of the U.S. Under certain licensing arrangements, we are eligible to receive royalties based on net product sales as defined in the agreements and in some cases, we are also entitled to milestone payments. We currently receive royalties from third parties related to agreements for Trokendi XR and Oxtellar XR.</w:t>
      </w:r>
    </w:p>
    <w:p>
      <w:pPr>
        <w:spacing w:after="0" w:line="13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The Company has also entered into settlement and licensing agreements with generic companies to settle patent litigation and to grant non-exclusive licenses to market generic versions of Oxtellar XR and Trokendi XR in the U.S. Under certain licensing arrangements, the Company is eligible to receive royalties based on net product sales as defined in the agreements, and the number of generic equivalent products on the market in the U.S. We currently receive royalties from third parties related to certain agreements for Trokendi XR and Oxtellar XR.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Confidential Information and Inventions Assignment Agreements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including our subsidiaries, require our employees, temporary employees, and consultants to execute confidentiality agreements upon the commencement of employment, consulting, or collaborative relationships with us or our subsidiaries. These agreements provide that all confidential information developed by or made known during the course of the relationship with us or our subsidiaries be kept confidential and not disclosed to third parties, except in specific circumstances. For example, nothing in any policy or agreement prohibits (i) reporting any possible violations of applicable laws, rules, or regulations to any governmental agency or government entity or (ii) making any other disclosures that are protected under federal, state, or local laws or regulations in the United States. The agreements provide that all inventions resulting from work performed for us or relating to our business and conceived of or completed by the individual during employment or assignment, as applicable, shall be our exclusive property or the exclusive property of the applicable subsidiary, in each case, to the extent permitted by applicable law.</w:t>
      </w:r>
    </w:p>
    <w:p>
      <w:pPr>
        <w:spacing w:after="0" w:line="15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and our subsidiaries seek to protect our respective products, product candidates, and our technologies through a combination of patents, trade secrets, proprietary know-how, FDA exclusivity, and contractual restrictions on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research and development process generally begins with discovery research, which focuses on the identification of a molecule that has the desired effect against a given disease. If clinical testing is to initiate in the United States, the FDA requires submission of an IND, which must become effective before human clinical trial testing may commence. The results of pre-clinical testing, along with other information, including information about product chemistry, product manufacturing and controls, and a proposed clinical trial protocol, are submitted to the FDA as part of the IND. Until the IND becomes effective following a waiting period, we may not start the clinical trials. This is typically followed by additional preclinical laboratory and animal testing, and adequate and well-controlled human clinical trials to establish the safety and efficacy of the proposed drug for its intended use. The satisfaction of FDA approval requirements typically takes many years. The actual time required may vary substantially based upon the type, complexity, and novelty of the product or disease.</w:t>
      </w:r>
    </w:p>
    <w:p>
      <w:pPr>
        <w:spacing w:after="0" w:line="151" w:lineRule="exact"/>
        <w:rPr>
          <w:sz w:val="20"/>
          <w:szCs w:val="20"/>
          <w:color w:val="auto"/>
        </w:rPr>
      </w:pPr>
    </w:p>
    <w:p>
      <w:pPr>
        <w:ind w:right="680" w:firstLine="648"/>
        <w:spacing w:after="0" w:line="266" w:lineRule="auto"/>
        <w:rPr>
          <w:sz w:val="20"/>
          <w:szCs w:val="20"/>
          <w:color w:val="auto"/>
        </w:rPr>
      </w:pPr>
      <w:r>
        <w:rPr>
          <w:rFonts w:ascii="Times New Roman" w:cs="Times New Roman" w:eastAsia="Times New Roman" w:hAnsi="Times New Roman"/>
          <w:sz w:val="18"/>
          <w:szCs w:val="18"/>
          <w:color w:val="auto"/>
        </w:rPr>
        <w:t>Preclinical tests include laboratory evaluation, as well as animal studies to assess the characteristics and potential pharmacology, pharmacokinetics, and toxicity of the product. The conduct of the preclinical tests must comply with FDA regulations and requirements, including acceptable laboratory practices.</w:t>
      </w:r>
    </w:p>
    <w:p>
      <w:pPr>
        <w:spacing w:after="0" w:line="13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If preclinical testing of an identified compound proves successful, the compound moves into clinical development. While these are generally conducted in three sequential phases, the phases may overlap or be combined.</w:t>
      </w:r>
    </w:p>
    <w:p>
      <w:pPr>
        <w:spacing w:after="0" w:line="135" w:lineRule="exact"/>
        <w:rPr>
          <w:sz w:val="20"/>
          <w:szCs w:val="20"/>
          <w:color w:val="auto"/>
        </w:rPr>
      </w:pPr>
    </w:p>
    <w:p>
      <w:pPr>
        <w:ind w:left="660" w:right="2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 Involves the first human tests of the drug, in a small number of healthy volunteers or in patients, to assess safety, tolerability, potential dosing, and if possible, early evidence on effectiveness.</w:t>
      </w:r>
    </w:p>
    <w:p>
      <w:pPr>
        <w:spacing w:after="0" w:line="12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 Involves trials in a relatively small group of patients to determine the effectiveness of the drug for a particular indication(s); dosage tolerance, and optimum dosage; and to identify common adverse effects and safety risks.</w:t>
      </w:r>
    </w:p>
    <w:p>
      <w:pPr>
        <w:spacing w:after="0" w:line="121"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 Involves tests confirming favorable results in earlier phases, in a significantly larger patient population, and to further demonstrate efficacy and safety. Phase 3 trials include both a control group that receives the standard treatment and a study group that receives the new treatment that is being tested.</w:t>
      </w:r>
    </w:p>
    <w:p>
      <w:pPr>
        <w:spacing w:after="0" w:line="1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Clinical trials must be conducted in compliance with applicable regulations and consistent with acceptable clinical practices, as well as protocols detailing not only the objectives of the trial, but also the parameters to be used in monitoring safety of study participants, and/or the parameters to determine effectiveness. Each protocol involving testing on patients, and subsequent protocol amendments, must be submitted to the FDA as part of the IND. The FDA may order the temporary halt or permanent discontinuation of a clinical trial at any time, or to impose other sanctions if they believe that the clinical trial is not being conducted in accordance with the applicable requirements, or if continuing the trial presents an unacceptable risk to the clinical trial patients. The study protocol and informed consent information for patients in clinical trials must also be submitted to an institutional review board (IRB) or ethics committee for approval. The IRB/ethics committee may also require the clinical trial at the site to be halted, either temporarily or permanently, for failure to comply with the IRB/ethics committee requirements, or they may impose other sanctions.</w:t>
      </w:r>
    </w:p>
    <w:p>
      <w:pPr>
        <w:spacing w:after="0" w:line="15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develop additional information about the chemistry and physical characteristics of the product candidate. They must finalize a process for manufacturing the product in commercial quantities in accordance with current good manufacturing practice (cGMP) requirements. Moreover, the product used in late-stage clinical trials must be manufactured under the proposed commercial process and at the same scale as will be used commercially. The manufacturing process must be capable of consistently producing quality batches of the product candidate. The manufacturer must develop methods for testing the identity, strength, quality, and purity of the final product. Additionally, appropriate packaging must be selected and tested. Stability studies must be conducted to demonstrate that the product candidate does not undergo unacceptable deterioration over its shelf life under various conditions and for commercially viable lengths of time.</w:t>
      </w:r>
    </w:p>
    <w:p>
      <w:pPr>
        <w:spacing w:after="0" w:line="14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research and development process, from discovery through a new drug launch, requires substantial time, effort, skill, and financial resources. The research and development of any product candidate has a significant amount of inherent uncertainty. Often, substantial resources must be committed even though success is far from assured. There is no guarantee when, or if, a product candidate will receive the regulatory approval required to launch a new drug or new indication of an existing drug.</w:t>
      </w:r>
    </w:p>
    <w:p>
      <w:pPr>
        <w:spacing w:after="0" w:line="15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development of new products and new formulations, research and development projects also may include Phase 4 trials, sometimes called post-marketing studies. For such projects, clinical trials are designed and conducted to collect additional data regarding, among other parameters, the benefits and risks of an approved drug. Alternatively, these trials may be conducted to assess the effectiveness of a product candidate in a new patient population.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FDA Review and Approval Processes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Drug development is an inherently uncertain process with a high risk of failure at every stage of development. After the completion of the required clinical testing, an NDA or Biological License Application (hereinafter NDA) is prepared and submitted to the FDA. FDA approval of the NDA is required before marketing of the product may begin in the U.S. The NDA must include the results of all preclinical, clinical, and other testing, along with a description of the manufacturing process, validation of the manufacturing process, analytical tests conducted on the drug, proposed labeling, and other relevant information. The NDA requests approval to market the product. Most NDAs are subject to a substantial user fee at the time of submission; rarely applications meet conditions or gain a waiver which negates the need for the user fee. A holder of an approved NDA may also be subject to annual program and/or establishment fees. These fees typically increase annually.</w:t>
      </w:r>
    </w:p>
    <w:p>
      <w:pPr>
        <w:spacing w:after="0" w:line="14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which is based on the agency's threshold determination that the NDA is sufficiently complete to permit substantive review. Sponsors will be notified if the application's review will proceed. Additional information may be requested, rather than accepting an application for filing.</w:t>
      </w:r>
    </w:p>
    <w:p>
      <w:pPr>
        <w:spacing w:after="0" w:line="149" w:lineRule="exact"/>
        <w:rPr>
          <w:sz w:val="20"/>
          <w:szCs w:val="20"/>
          <w:color w:val="auto"/>
        </w:rPr>
      </w:pPr>
    </w:p>
    <w:p>
      <w:pPr>
        <w:ind w:right="380" w:firstLine="648"/>
        <w:spacing w:after="0" w:line="289" w:lineRule="auto"/>
        <w:rPr>
          <w:sz w:val="20"/>
          <w:szCs w:val="20"/>
          <w:color w:val="auto"/>
        </w:rPr>
      </w:pPr>
      <w:r>
        <w:rPr>
          <w:rFonts w:ascii="Times New Roman" w:cs="Times New Roman" w:eastAsia="Times New Roman" w:hAnsi="Times New Roman"/>
          <w:sz w:val="17"/>
          <w:szCs w:val="17"/>
          <w:color w:val="auto"/>
        </w:rPr>
        <w:t>Once the submission is accepted for filing, the FDA begins an in-depth review. Review status could be either standard or priority. A priority review designation means FDA’s goal is to take action on an application within six months, compared to 10 months under standard review. The review process may be extended by the FDA for their initial review, and, if new information submitted during the review, the review period may be extended.</w:t>
      </w:r>
    </w:p>
    <w:p>
      <w:pPr>
        <w:spacing w:after="0" w:line="11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advisory committee, which is typically a panel that includes clinicians and other experts. The advisory committee reviews and evaluates information and prepares a recommendation as to whether the application should be approved. The FDA is not bound by the recommendation of an advisory committee, but it generally follows such recommendations. After the FDA evaluates the information provided in the NDA, it issues either an approval letter or a complete response letter. A complete response letter outlines the deficiencies in the submission and may require substantial additional testing or information in order for the FDA to reconsider the application. If and when those deficiencies have been timely addressed, the FDA will re-initiate review. If it is satisfied that the deficiencies have been addressed, the FDA will issue an approval letter.</w:t>
      </w:r>
    </w:p>
    <w:p>
      <w:pPr>
        <w:spacing w:after="0" w:line="148"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During the review period, the FDA will typically inspect one or more clinical sites to assure compliance with good clinical practice regulations. The FDA may rely on a recent inspection of the facility, or they may decide to inspect each facility at which the drug is manufactured to ensure compliance with cGMP regulations. The FDA may also undertake an audit of nonclinical and clinical sites. The FDA will not approve the product unless compliance is satisfactory and unless the application contains the data that provide substantial evidence that the drug is safe and effective in the indication studied.</w:t>
      </w:r>
    </w:p>
    <w:p>
      <w:pPr>
        <w:spacing w:after="0" w:line="13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marketing approval authorizes commercial marketing of the drug, with specific prescribing information for specific indications. As a condition of NDA approval, the FDA may require a risk evaluation and mitigating strategy (REMS) to help ensure that the benefits of the drug outweigh the potential risks. REMS can include medication guides, communication plans for health care professionals, and elements to assure safe use, such as restricted distribution methods, patient registries, and other risk minimization tools. Moreover, as a condition to product approval, the FDA may require substantial post-marketing testing and surveillance to monitor the drug's safety or efficacy in commercial use and may impose other conditions, including distribution and labeling restrictions, which can materially affect the potential addressable market and profitability of the drug. Once granted, product approvals may be withdrawn if compliance with regulatory standards is not maintained, if problems are identified following initial marketing, or if post-marketing commitments are not met. Certain of the Company's commercial products have post-marketing commitments.</w:t>
      </w:r>
    </w:p>
    <w:p>
      <w:pPr>
        <w:spacing w:after="0" w:line="15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approval process is lengthy and difficult. The FDA may refuse to approve the NDA if the applicable regulatory criteria are not satisfied. Further, data obtained from clinical trials are not always conclusive, or the FDA may interpret data differently than us. In addition, if a product receives regulatory approval, the approval may be significantly limited to specific diseases, dosages, or indications. This could restrict the commercial value of the product. Also, the FDA may require that certain contraindications, warnings, or precautions be included in the product labeling, as well as requiring Phase 4 testing or post approval marketing of commercial use.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Drug Application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activities encompass two types of NDAs: Section 505(b)(1) NDA (Full NDA) and Section 505(b)(2) NDA.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Section 505(b)(1), which is a "full" or "stand-alone" NDA, must contain all pertinent information and full reports of investigations conducted by the applicant to demonstrate the safety and effectiveness of the drug, as well as complete preclinical, clinical, and manufacturing information.</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505(b)(2) NDAs often provide an alternative path to FDA approval for new or improved formulations or new uses of previously approved products. For a Section 505(b)(2) application, the FDA permits the submission of an NDA where at least some of the information required for approval comes from clinical trials not conducted by or for the applicant, and for which the applicant has not obtained a right of reference. The FDA permits the applicant to rely upon the FDA's previous findings of safety and effectiveness for an approved product. The FDA requires submission of information needed to support any changes to a previously approved drug, such as published data or new studies conducted by the applicant, including bioavailability or bioequivalence studies or clinical trials demonstrating safety and effectiveness. The FDA may then approve the new product candidate for all or some of the label indications for which the referenced product has been approved, as well as for any new indication sought by the Section 505(b)(2) applicant. The Section 505(b)(2) regulatory approval process is designed to allow for potentially expedited, lower cost and lower risk regulatory approval, based on previously established safety, efficacy, and manufacturing information on a drug which has been already approved by the FDA for the same or a different indication.</w:t>
      </w:r>
    </w:p>
    <w:p>
      <w:pPr>
        <w:spacing w:after="0" w:line="15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studies conducted on previously approved drug product, the Section 505(b)(2) applicant must submit patent certifications with respect to any patents for the approved product on which the application relies that are listed in the FDA's publication, Approved Drug Products with Therapeutic Equivalence Evaluations, commonly referred to as the Orange Book. Specifically, the applicant must certify for each listed patent that either: (1) the required patent information has not been filed; or (2) the listed patent has expired; or (3) the listed patent has not expired but will expire on a particular date, and approval is not sought until after patent expiration; or (4) the listed patent is invalid, unenforceable or will not be infringed by the proposed new product. A certification that the new product will not infringe the previously approved product's listed patent or that such patent is invalid or unenforceable is known as a Paragraph IV certification.</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the applicant does not challenge one or more listed patents through a Paragraph IV certification, the FDA will not approve the Section 505(b)(2) NDA application until all the listed patents claiming the referenced product have expired. Further, the FDA also will not approve, as applicable, a Section 505(b)(2) NDA application until any non-patent exclusivity has expired, for example: five-year exclusivity period for obtaining approval of an NCE; or three year exclusivity period for an approval based on new clinical trials; or pediatric exclusivity, listed in the Orange Book for the referenced product.</w:t>
      </w:r>
    </w:p>
    <w:p>
      <w:pPr>
        <w:spacing w:after="0" w:line="143" w:lineRule="exact"/>
        <w:rPr>
          <w:sz w:val="20"/>
          <w:szCs w:val="20"/>
          <w:color w:val="auto"/>
        </w:rPr>
      </w:pPr>
    </w:p>
    <w:p>
      <w:pPr>
        <w:ind w:right="400" w:firstLine="648"/>
        <w:spacing w:after="0" w:line="256" w:lineRule="auto"/>
        <w:rPr>
          <w:sz w:val="20"/>
          <w:szCs w:val="20"/>
          <w:color w:val="auto"/>
        </w:rPr>
      </w:pPr>
      <w:r>
        <w:rPr>
          <w:rFonts w:ascii="Times New Roman" w:cs="Times New Roman" w:eastAsia="Times New Roman" w:hAnsi="Times New Roman"/>
          <w:sz w:val="18"/>
          <w:szCs w:val="18"/>
          <w:color w:val="auto"/>
        </w:rPr>
        <w:t>A section 505(b)(2) NDA applicant must send notice of the Paragraph IV certification to the owner of the referenced NDA for the previously approved product and relevant patent holders within 20 days after the Section 505(b)(2) NDA has been accepted for filing by the FDA. If the relevant patent holder elects to initiate litigation, the Section 505(b)(2) applicant may invest a significant amount of time and expense in the development of its product, only to be subject to significant delay and patent litigation before its product may be commercialized. Alternatively, if the NDA applicant or relevant patent holder does not file a patent infringement lawsuit within the specified 45 day period, the FDA may approve the Section 505(b)(2) application at any time.</w:t>
      </w:r>
    </w:p>
    <w:p>
      <w:pPr>
        <w:spacing w:after="0" w:line="14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approval of many products by the FDA pursuant to Section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NDA that we submit.</w:t>
      </w:r>
    </w:p>
    <w:p>
      <w:pPr>
        <w:spacing w:after="0" w:line="15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By its very nature, a Section 505(b)(1) NDA submission carries a higher degree of regulatory approval risk than a Section 505(b)(2) NDA submission. In addition, a requirement for more extensive testing and development can adversely impact our ability to compete with alternative products that arrive on the market sooner than our product candidate. Further, the time and financial resources required to obtain FDA approval could substantially and materially increase.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Combination Products</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Products comprised of separate components (e.g., a drug and a device; a biologic and a device; a drug and a biologic; or a drug, device, and a biologic) are known as "combination products." Such products often raise regulatory, policy, and review management challenges because they integrate components that are regulated under different types of regulatory requirements and by different FDA Centers, namely, Center for Drug Evaluation and Research (CDER), Center for Devices and Radiological Health (CDRH), and the Center for Biologics Evaluation and Research (CBER) (each a "Center"). Differences in regulatory pathways for each component can impact the regulatory processes for all aspects of product development and management, including preclinical testing, clinical investigation, marketing applications, manufacturing and quality control, adverse event reporting, promotion and advertising, user fees, and post-approval modifications.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FDA's Office of Combination Products (OCP) determines which Center will have primary jurisdiction (the "Lead Center") for the combination product based on the combination product's "primary mode of action"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through a 510(k), Premarket Approval Application (PMA), or de novo reclassification request.</w:t>
      </w:r>
    </w:p>
    <w:p>
      <w:pPr>
        <w:spacing w:after="0" w:line="15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 most significant safety and effectiveness questions raised by the combination product. A sponsor may use a voluntary formal process, known as a Request for Designation, when the product classification is unclear or in dispute to obtain a binding decision as to which a product's primary mode of action as well as which center will regulate the combination product. If the sponsor objects to that decision, it may request that the agency reconsider that decision.</w:t>
      </w:r>
    </w:p>
    <w:p>
      <w:pPr>
        <w:spacing w:after="0" w:line="147"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Combination products are subject to application User Fees based on the type of application submitted for the product's premarket approval or clearance. For example, a combination product for which an NDA is submitted is subject to the NDA fee under the Prescription Drug User Fee Act. Likewise, a combination product for which a PMA is submitted is subject to the PMA fee under the Medical Device User Fee and Modernization Act.</w:t>
      </w:r>
    </w:p>
    <w:p>
      <w:pPr>
        <w:spacing w:after="0" w:line="14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Since a combination product incorporates two or more components with different regulatory requirements, a combination product manufacturer must comply with all cGMP and Quality System (QS) Regulation/Medical Device Good Manufacturing Practices (QSR) requirements that apply to each component. The FDA has issued a combination product cGMP regulation, along with final guidance, describing two approaches a combination product manufacturer may follow to demonstrate compliance. Under these two options, the manufacturer demonstrates compliance with:</w:t>
      </w:r>
    </w:p>
    <w:p>
      <w:pPr>
        <w:spacing w:after="0" w:line="13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cGMP regulations applicable to each separate regulated component included in the combination product; or</w:t>
      </w:r>
    </w:p>
    <w:p>
      <w:pPr>
        <w:spacing w:after="0" w:line="184"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drug cGMPs or the QSR, as well as with specified provisions from the other of these two sets of requirements (also called the "streamlined approach”).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2007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intent of the PREA is to compel sponsors whose drugs have pediatric applicability to study those drugs in pediatric populations, rather than ignoring pediatric indications for adult indications that could be more economically desirable. The FDA may grant deferrals for submission of data, full waivers, or partial waivers of the data requirements. Unless otherwise required by regulation, PREA does not apply to any drug for an indication for which an Orphan Drug Designation has been granted.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Orphan Drug Designation is granted by the FDA to drugs intended to treat a rare disease or condition, which is generally a disease or condition that affects fewer than 200,000 individuals in the U.S., but there is no reasonable expectation that the cost of developing and making the product available in the U.S. for the disease or condition will be recovered from sales of the product. Orphan Drug Designation must be requested before submitting an NDA. Orphan Drug Designation does not convey any advantage or shorten the duration of the regulatory review and approval process. However, if an orphan drug later receives approval for the indication for which it has an orphan designation, the FDA may not approve any other applications to market the same drug for the same indication. Exceptions to this policy include showing clinical superiority to the product with the orphan drug exclusivity or if the license holder cannot supply sufficient quantities of the product. Orphan drug exclusivity in the U.S., which is seven years, does not prevent the FDA from approving a different drug for the same disease or condition, or the same drug for a different disease or condition, provided the sponsor has conducted appropriate clinical trials required for approval. Among the other benefits of an Orphan Drug Designation, are tax credits for certain research expenses and waiver of the NDA application user fee for the orphan indication. However, a competitor obtaining orphan product exclusivity for a therapeutic agent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before we do, could block the approval of one of our products for seven years for the same indication, unless we are able to demonstrate that our product is clinically superior, or the competitor cannot supply sufficient quantities of the product.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Priority Review</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FDA policies, a drug candidate is eligible for priority review, or review within six months from filing, for a new molecular entity (NME). In addition, a six month review period may pertain to a non-NME if the drug candidate provides a significant improvement as compared to marketed drugs in the treatment, diagnosis, or prevention of disease. A fast track designated drug candidate would ordinarily meet the FDA's criteria for priority review. The FDA makes its determination of priority or standard review during the 60-day filing period post the initial NDA submission.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Designation</w:t>
      </w:r>
    </w:p>
    <w:p>
      <w:pPr>
        <w:spacing w:after="0" w:line="189"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7"/>
          <w:szCs w:val="17"/>
          <w:color w:val="auto"/>
        </w:rPr>
        <w:t>The FDA is required to facilitate the development and expedite the review of drugs that are intended for the treatment of a serious or life-threatening condition and for which there is currently no effective treatment. These products must demonstrate the potential to address unmet medical needs for the condition. The FDA must determine if the drug candidate qualifies for the fast track designation within 60 days of receipt of the sponsor's request. Once the FDA designates a drug as a fast track candidate, it is required to facilitate the development and expedite the review of that drug by providing more frequent communication and guidance to the sponsor. In addition to other benefits such as greater interaction with the FDA, the FDA may initiate a review of the sections of a fast track drug's NDA before the application is complete. This rolling review is available if the applicant provides and the FDA approves a schedule for the submission of the remaining information, and if the applicant pays the applicable user fees. However, the FDA's review period for filing and reviewing an application does not begin until the last section of the NDA has been submitted. Additionally, a fast track designation may be withdrawn by the FDA, if the FDA believes that the designation is no longer supported by data emerging in the clinical trial process.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Regulatory Requirements</w:t>
      </w:r>
    </w:p>
    <w:p>
      <w:pPr>
        <w:spacing w:after="0" w:line="20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Any drugs for which we receive FDA approval are subject to continuing regulation by the FDA, including, among other things: record-keeping requirements; reporting of adverse events with the product; providing the FDA with updated safety and efficacy information; product sampling and distribution requirements; complying with certain electronic records and signature requirements; and complying with FDA promotion and advertising requirements.</w:t>
      </w:r>
    </w:p>
    <w:p>
      <w:pPr>
        <w:spacing w:after="0" w:line="13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Drugs may be promoted only for the approved indication and in accordance with the provisions of the approved label. Changes to some of the conditions established in an approved application, including changes in indications, labeling, or manufacturing processes or facilities, may require submission for further review and approval by the FDA before the change can be implemented.</w:t>
      </w:r>
    </w:p>
    <w:p>
      <w:pPr>
        <w:spacing w:after="0" w:line="13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is required following marketing approval. The FDA may also require post-marketing testing, known as Phase 4 testing, REMS, and surveillance to monitor the effects of an approved product, or place conditions on an approval that could restrict the distribution and use of the product.</w:t>
      </w:r>
    </w:p>
    <w:p>
      <w:pPr>
        <w:spacing w:after="0" w:line="1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quality control, as well as the manufacture, packaging and labeling procedures must continue to conform to cGMPs after approval. Drug manufacturers and other entities involved in the manufacturing and distribution of approved drugs are subject to periodic unannounced inspections by the FDA and certain state agencies for compliance with cGMPs. Accordingly, manufacturers must continue to expend time, money, and effort in the areas of production and quality control to maintain compliance with cGMPs. Regulatory agencies may withdraw product approval, or request product recalls if a company fails to comply with regulatory standards, or if it encounters problems following initial marketing, or if previously unrecognized problems are subsequently discovered. In addition, prescription drug manufacturers in the U.S. must comply with applicable provisions of the Drug Supply Chain Security Act, provide and receive product tracing information; maintain appropriate licenses, ensure they only work and contract with other properly licensed entities, and have procedures in place to identify and properly handle suspect and illegitimate products.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some of our U.S. patents may be eligible for limited PTE under the Hatch-Waxman Amendments. The Hatch-Waxman Amendments permit a patent term restoration of up to five years as compensation for patent term lost during product development and during the FDA regulatory review process. However, patent term restoration cannot extend the remaining term of a patent beyond a total of 14 years from the product's approval date. The patent term restoration period is generally 50% of the time between the effective date of an IND and the submission date of an NDA, plus the time between the submission date of an NDA and the approval of that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application. Only one patent applicable to an approved drug is eligible for the extension, and the application for the extension must be submitted prior to the expiration of the patent and within sixty days of approval of the drug. The USPTO, in consultation with the FDA, reviews and approves the application for any patent term extension or restoration.</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Market exclusivity provisions under the Federal Food, Drug, and Cosmetic Act (FDCA) can also delay the submission or the approval of certain applications. The FDCA provides a five-year period of non-patent marketing exclusivity within the U.S. to the first applicant to gain the approval of an NDA for an NCE. A drug is an NCE if the FDA has not previously approved any other new drug containing the same active pharmaceutical ingredient (API) or active moiety, which is the molecule or ion responsible for the therapeutic action of the drug substance. During the exclusivity period, the FDA may not accept for review an ANDA or a Section 505(b)(2) NDA submitted by another company for another version of such drug, where the applicant does not own or have a legal right of reference to all the data required for approval. As an alternative to submission via 505(b)(2) approval, an applicant may choose to submit a full Section 505(b)(1) NDA, wherein the applicant would be required to conduct its own preclinical and adequate, well-controlled clinical trials to demonstrate safety and effectiveness. They may not refer to other clinical trials or data.</w:t>
      </w:r>
    </w:p>
    <w:p>
      <w:pPr>
        <w:spacing w:after="0" w:line="1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FDCA also provides three years of marketing exclusivity for an NDA, Section 505(b)(2) NDA, or supplement to an existing NDA, if new clinical investigations (other than bioavailability studies) that were conducted or sponsored by the applicant are deemed by the FDA to be essential to the approval of the application. Such clinical trials may, for example, support: new indications; dosages; routes of administration; or strengths of an existing drug. Alternatively, these trials may be for a new use if the new clinical investigations conducted or sponsored by the applicant are determined by the FDA to be essential to the approval of the application. This exclusivity, sometimes referred to as clinical investigation exclusivity, prevents the FDA from approving an application under Section 505(b)(2) for the same conditions of use associated with the new clinical investigations before the expiration of three years from the date of approval. Such three-year exclusivity, however, would not prevent the approval of another application if the applicant submits a Section 505(b)(1) NDA and has conducted its own adequate, well-controlled clinical trials demonstrating safety and efficacy, nor would it prevent approval of a Section 505(b)(2) product that did not incorporate the exclusivity-protected changes of the approved drug product. The FDCA, FDA regulations, and other applicable regulations and policies provide incentives to manufacturers to create modified, non-infringing versions of a drug to facilitate the approval of an ANDA or other application for generic substitutes.</w:t>
      </w:r>
    </w:p>
    <w:p>
      <w:pPr>
        <w:spacing w:after="0" w:line="16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Pediatric exclusivity is a type of non-patent marketing exclusivity granted in the U.S. If granted, pediatric exclusivity, provides an additional six months of exclusivity to be attached to any existing exclusivity (e.g., three or five year exclusivity) or to patent protection for a drug. This six month exclusivity, which runs from the end of other exclusivity protection or patent delay, may be granted based on the voluntary completion of a pediatric trial in accordance with an FDA-issued "Written Request" for such a trial.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March 2019, MDD US Operations, LLC (formerly US WorldMeds, LLC) and its subsidiary, Solstice Neurosciences, LLC (US) (collectively, the MDD Subsidiaries), which are subsidiaries of the Company, entered into a Corporate Integrity Agreement (CIA) with the Office of Inspector General of the U.S. Department of Health and Human Services. Under the CIA, the MDD Subsidiaries agreed to pay $17.5 million to resolve U.S. Department of Justice allegations that the MDD Subsidiaries violated the False Claims Act by paying kickbacks to induce the use of APOKYN and MYOBLOC (collectively, the MDD Products). The fine was paid by the MDD Subsidiaries prior to the closing of the USWM Acquisition. The False Claims Act provides that any Person who knowingly submits false claims to the government is liable for treble damages as well as additional penalties.</w:t>
      </w:r>
    </w:p>
    <w:p>
      <w:pPr>
        <w:spacing w:after="0" w:line="16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a consequence of the USWM Acquisition, and under the terms of the CIA, the Company has assumed the extensive obligations of the MDD Subsidiaries concerning the ongoing maintenance of an effective compliance and disclosure program to promote compliance with the statutes, regulations and written directives of Medicare, Medicaid and all other Federal health care programs and with the statutes, regulations and written directives of the FDA. The CIA has a term of five years, with the final Reporting Period ending in April 2024, and imposes material burdens on the Company, its officers and directors to take actions designed to ensure compliance with applicable healthcare laws, including requirements to maintain specific compliance positions within the Company, to report any non-compliance with the terms of the agreement, to submit annual reports to the Office of Inspector General of the U.S. Department of Health and Human Services and to have prepared an annual audit by an Independent Review Organization. The Company submitted its final report during the second quarter of 2024 and currently expects the review of its report for the final Reporting Period to conclude during the first half of 2025. The CIA sets forth potentially substantial stipulated monetary penalties for non-compliance with the terms of the agreement. In addition, the Company may be excluded from participation in federally funded healthcare programs for a material breach of the CIA, which would result in substantial losses to the Company.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U.S. has enacted a number of legislative and regulatory proposals to change the healthcare system in ways that could affect our ability to sell our products profitably. In the U.S., the Patient Protection and Affordable Care Act of 2010, as amended by the Health Care and Education Reconciliation Act of 2010 (as amended), is a sweeping measure intended to improve quality of care, constrain healthcare spending, and expand healthcare coverage within the U.S. This is accomplished primarily through the imposition of health insurance mandates on employers and individuals and the expansion of the Medicaid program.</w:t>
      </w:r>
    </w:p>
    <w:p>
      <w:pPr>
        <w:spacing w:after="0" w:line="14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the marketing of pharmaceutical products, several other types of state and federal laws have been applied to restrict certain business and marketing practices in the pharmaceutical industry in recent years. These laws include: anti-kickback; false claims; patient data privacy; civil monetary penalties statute; and security and transparency statutes and regulations.</w:t>
      </w:r>
    </w:p>
    <w:p>
      <w:pPr>
        <w:spacing w:after="0" w:line="13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Federal Open Payments program requires certain manufacturers, including those that engage in the production, preparation, propagation, compounding, or conversion of drugs, devices, biological, and medical supplies for which payment is available under Medicare, Medicaid, or the Children's Health Insurance Program, with certain exceptions, to report annually to the federal government information related to payments and other transfers of value made to physicians (defined to include doctors, dentists, optometrists, podiatrists, and chiropractors) and teaching hospitals, as well as certain ownership and investment interests held by physicians and their immediate family members. We are also required to report information regarding payments and other transfers of value provided during the previous year to physician assistants, nurse practitioners, clinical nurse specialists, certified nurse anesthetists and anesthesiologist assistants, and certified nurse-midwives.</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U.S. Foreign Corrupt Practices Act (FCPA), to which we are also subject, prohibits corporations and individuals from engaging in certain activities to obtain or retain business or influence a person working in an official capacity. Under the FCPA, it is illegal to pay, offer to pay, or authorize the payment of anything of value to any foreign government official, government staff member, political party, or political candidate in an attempt to obtain or retain business or otherwise influence a person working in an official capacity. Historically, pharmaceutical companies have been the target of FCPA and other anti-corruption investigations and penalties.</w:t>
      </w:r>
    </w:p>
    <w:p>
      <w:pPr>
        <w:spacing w:after="0" w:line="14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we are subject to data privacy and security regulations by the federal government, the states, and certain foreign governments in which we conduct our business. The legislative and regulatory landscape for privacy and data protection continues to evolve, and there has been an increasing focus on privacy and data protection issues which may affect our business. Numerous federal and state laws and regulations, including state security breach notification laws, state health information privacy laws and federal and state consumer protection laws, govern the collection, use, disclosure, and protection of personal information. Failure to comply with such laws and regulations could result in government enforcement actions and create liability for us (including the imposition of significant penalties), private litigation and/or adverse publicity that negatively affects our business. In addition, healthcare providers who prescribe our products and research institutions we collaborate with are subject to privacy and security requirements under the Health Insurance Portability and Accountability Act of 1996 (HIPAA), as amended by the Health Information Technology for Economic and Clinical Health Act (HITECH). HIPAA and its implementing regulations impose certain requirements on covered entities, including certain healthcare providers, health plans, and healthcare clearinghouses as well as their respective business associates (including us) that create, receive, maintain or transmit individually identifiable health information for or on behalf of a covered entity and their subcontractors that use, disclose, access, or otherwise process individually identifiable protected health information,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5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must comply with the Veterans Health Care Act of 1992 (VHCA). The VHCA requires manufacturers to offer their covered drugs (biologics and single source and innovator multiple source drugs) for sale to certain federal agencies, including but not limited to, the Department of Veterans Affairs (VA), on a Federal Supply Schedule contract, at a price no higher than the statutory Federal Ceiling Price (FCP). The FCP is based on the non-federal average manufacturer price, or Non-FAMP, which we will have to calculate and report to the VA on a quarterly and annual basis. In addition, the Federal Supply Schedule contract requires compliance with applicable federal procurement laws.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Depending on the circumstances, failure to comply with these laws can result in penalties, including significant criminal, civil, and/or administrative criminal penalties, damages, fines, disgorgement, exclusion of products from reimbursement under government programs, "qui tam" actions brought by individual whistleblowers in the name of the government, imprisonment, additional reporting requirements and oversight if we become subject to a corporate integrity agreement or similar agreement to resolve allegations of non-compliance with these laws,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14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U.S., we are subject to a variety of foreign regulations governing clinical trials, commercial sales, as well as the distribution of our product candidates, to the extent we choose to clinically evaluate or sell products outside of the U.S. Whether or not we obtain FDA approval for a product, we must obtain approval of a product by the appropriate regulatory authorities of foreign countries before we can commence clinical trials or marketing of the product in those countries. The requirements, approval process and the time frame varies for each jurisdiction. As in the U.S., post-approval regulatory requirements, such as those regarding product manufacture, marketing, or distribution, would apply to any product that is approved outside the U.S. We generally market our products outside of the U.S. through licensing arrangements.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Part I, Item 1A—Risk Factors</w:t>
      </w:r>
      <w:r>
        <w:rPr>
          <w:rFonts w:ascii="Times New Roman" w:cs="Times New Roman" w:eastAsia="Times New Roman" w:hAnsi="Times New Roman"/>
          <w:sz w:val="18"/>
          <w:szCs w:val="18"/>
          <w:color w:val="auto"/>
        </w:rPr>
        <w:t>, for discussion of risks associated with government regulations.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third-party payor coverage and reimbursement status of any of our products and product candidates for which we obtain regulatory approval.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entities.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prices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by such third-party payors. A third-party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4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 Care and Education Reconciliation Act, collectively known as the Affordable Care Act (ACA), substantially changed the way healthcare is financed by both governmental and private insurers and significantly impacted the pharmaceutical industry. Federal, state, and local governments in the U.S. continue to consider legislation to limit the growth of health care costs, including the cost of prescription drugs. Future legislation could limit payments for pharmaceuticals, such as the product candidates that we are developing.</w:t>
      </w:r>
    </w:p>
    <w:p>
      <w:pPr>
        <w:spacing w:after="0" w:line="13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Inflation Reduction Act of 2022 (IRA) includes measures intended to lower the cost of prescription drugs and related healthcare reforms, such as limits on price increases and subjecting an escalating number of drugs to annual price negotiations with Centers for Medicare &amp; Medicaid Services (CMS). Specifically, the IRA authorizes and directs HHS to set drug price caps for certain high-cost Medicare Part B and Part D qualified drugs, with the initial list of drugs announced in August 2023. On August 14, 2024, CMS announced that it had selected 10 drugs covered under Medicare Part D for negotiation for initial maximum price applicability for calendar year 2026. None of the selected drugs were Supernus products. The IRA also authorizes HHS to penalize pharmaceutical manufacturers that increase the price of certain Medicare Part B and Part D drugs faster than the rate of inflation. The IRA also creates significant changes to the Medicare Part D benefit design by capping Part D beneficiaries' annual out-of-pocket spending.</w:t>
      </w:r>
    </w:p>
    <w:p>
      <w:pPr>
        <w:spacing w:after="0" w:line="14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4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Over the past several years an increasing number of U.S. states have passed, or are in the process of passing, new regulations designed to increase pricing transparency associated with pharmaceutical manufacturers. Many states have determined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that it's in their interest to take legislative action in order to curb drug price increases and to decrease their annual pharmaceutical spending. This momentum is likely to continue in the years ahead. Many of the enacted state price transparency regulations fall into the following categories: advance notice of price increases; price increase reporting; periodic price reports; new drug reporting; price information disclosures to Health Care Professionals and state agencies. The potential penalties for noncompliance vary by state regulation. While certain regulations do not contain specific penalty clauses, most do and can contain penalties that can be significant per violation for noncompliance.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operations and those of our third-party manufacturers and suppliers are subject to national, state and local environmental laws. We have made, and intend to continue to make, expenditures and undertake efforts to comply with applicable laws. We believe the safety procedures utilized by us for the handling and disposing hazardous materials comply with the standards prescribed by applicable laws and regulations.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success begins and ends with our people. Our solid progress to date reflects the talent and hard work of all of our employees. We consider the intellectual capital of our employees to be an essential driver of our business and key to our future prospects. Attracting, developing, and retaining talented people in technical, marketing, sales, research, and other positions is crucial to executing our strategy and our ability to compete effectively. As of December 31, 2024, we employed 674 full-time employees in the U.S. None of our employees are represented by a labor union. We consider relations with our employees to be good.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 Retention and Development</w:t>
      </w:r>
    </w:p>
    <w:p>
      <w:pPr>
        <w:spacing w:after="0" w:line="200"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key human capital objectives are to attract, retain and develop the highest quality talent. We employ various human resource programs in support of these objectives. Our ability to recruit and retain such talent depends on a number of factors, including compensation and benefits, talent development and career opportunities, and the work environment.</w:t>
      </w:r>
    </w:p>
    <w:p>
      <w:pPr>
        <w:spacing w:after="0" w:line="13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attract and reward our employees by providing market competitive compensation and benefit packages, including incentives and recognition plans that extend to all levels in our organization. To that end, we offer a comprehensive total rewards program aimed at health, home-life, and financial needs of our employees. Our total rewards package includes market-competitive pay, broad-based stock grants, bonuses, healthcare benefits, retirement savings plans, paid time off and family leave, an Employee Assistance Program, and mental health services.</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the safety, health, and security of our employees. We believe a hazard-free environment is critical for the success of our business. Throughout our operations, we strive to ensure that all our employees have access to safe workplaces that allow them to succeed in their jobs. Our experience and continuing focus on workplace safety has enabled us to preserve business continuity without sacrificing our commitment to keeping our colleagues and workplace visitors safe.</w:t>
      </w:r>
    </w:p>
    <w:p>
      <w:pPr>
        <w:spacing w:after="0" w:line="153"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We place a strong value on collaboration and we believe that working together leads to better outcomes for our customers. This extends to the way we treat each other as team members. We strive to create an environment where innovative ideas can flourish by demonstrating respect for each other and valuing the opinions,and viewpoints of employees. We believe a collaborative workplace results in business growth and encourages increased innovation.</w:t>
      </w:r>
    </w:p>
    <w:p>
      <w:pPr>
        <w:spacing w:after="0" w:line="11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recent years we have been named to a number of best company lists, including the 2021 Forbes Best Small Companies list and the 2020 Best of Rockville – Pharmaceutical Companies list.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are listed on the NASDAQ Stock Exchange under the ticker symbol SUPN. Our principal executive offices are located at 9715 Key West Ave., Rockville, Maryland, 20850. Our website address is </w:t>
      </w:r>
      <w:r>
        <w:rPr>
          <w:rFonts w:ascii="Times New Roman" w:cs="Times New Roman" w:eastAsia="Times New Roman" w:hAnsi="Times New Roman"/>
          <w:sz w:val="18"/>
          <w:szCs w:val="18"/>
          <w:i w:val="1"/>
          <w:iCs w:val="1"/>
          <w:color w:val="auto"/>
        </w:rPr>
        <w:t>www.supernus.com</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such material to, the U.S. Securities and Exchange Commission (SEC). Through a link on the Investor Relations portion of our website, you can access our filings with the SEC. Information contained on our website is not a part of this Annual Report on Form 10-K.</w:t>
      </w:r>
    </w:p>
    <w:p>
      <w:pPr>
        <w:spacing w:after="0" w:line="14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at www.sec.gov that contains reports, proxy, and other information statements, and other information regarding issuers, including us, that file electronically with the SEC.</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Any investment in our business involves a high degree of risk. Before making an investment decision, you should carefully consider the risks described below, with all of the other information we include in this report and the additional information in the other reports we file with the Securities and Exchange Commission (the "SEC" or the "Commission"). These risks may result in material harm to our business, our financial condition, and the results of our operations. If a material, adverse event was to occur, the market price of our common stock may decline, and you could lose part or all of your investment.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risks related to our industry and business, risks related to our finances and capital requirements, risks related to securities markets and investment in our stock, and certain general risks, which could have a material adverse effect on our business, financial condition, results of operations and cash flows. The summary below is not exhaustive and is qualified by reference to the full set of risk factors set forth in this "Risk Factors” section.</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58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tc>
        <w:tc>
          <w:tcPr>
            <w:tcW w:w="6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0580" w:type="dxa"/>
            <w:vAlign w:val="bottom"/>
            <w:gridSpan w:val="31"/>
            <w:vMerge w:val="continue"/>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580" w:type="dxa"/>
            <w:vAlign w:val="bottom"/>
            <w:gridSpan w:val="31"/>
          </w:tcPr>
          <w:p>
            <w:pPr>
              <w:ind w:left="44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We are dependent on the commercial success of our products in the U.S.</w:t>
            </w:r>
          </w:p>
        </w:tc>
        <w:tc>
          <w:tcPr>
            <w:tcW w:w="6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200" w:type="dxa"/>
            <w:vAlign w:val="bottom"/>
            <w:tcBorders>
              <w:top w:val="single" w:sz="8" w:color="0000FF"/>
            </w:tcBorders>
            <w:gridSpan w:val="7"/>
          </w:tcPr>
          <w:p>
            <w:pPr>
              <w:spacing w:after="0"/>
              <w:rPr>
                <w:sz w:val="18"/>
                <w:szCs w:val="18"/>
                <w:color w:val="auto"/>
              </w:rPr>
            </w:pPr>
          </w:p>
        </w:tc>
        <w:tc>
          <w:tcPr>
            <w:tcW w:w="4620" w:type="dxa"/>
            <w:vAlign w:val="bottom"/>
            <w:gridSpan w:val="23"/>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820" w:type="dxa"/>
            <w:vAlign w:val="bottom"/>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If generics or other versions of our products including generics containing one or more of the active pharmaceutical ingredients present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972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in our products are approved and successfully commercialized, our business could be materially harmed.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gridSpan w:val="31"/>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We are subject to uncertainty relating to payment or managed care reimbursement policies, which, if not favorable for our products or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64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product candidates, could hinder or prevent our commercial success.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920" w:type="dxa"/>
            <w:vAlign w:val="bottom"/>
            <w:tcBorders>
              <w:top w:val="single" w:sz="8" w:color="0000FF"/>
            </w:tcBorders>
            <w:gridSpan w:val="6"/>
          </w:tcPr>
          <w:p>
            <w:pPr>
              <w:spacing w:after="0"/>
              <w:rPr>
                <w:sz w:val="18"/>
                <w:szCs w:val="18"/>
                <w:color w:val="auto"/>
              </w:rPr>
            </w:pPr>
          </w:p>
        </w:tc>
        <w:tc>
          <w:tcPr>
            <w:tcW w:w="4900" w:type="dxa"/>
            <w:vAlign w:val="bottom"/>
            <w:gridSpan w:val="24"/>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820" w:type="dxa"/>
            <w:vAlign w:val="bottom"/>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We depend on wholesalers, distributors, and specialty pharmacies for the distribution of our products. If we lose any of our significant</w:t>
            </w: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wholesaler, distributor, or specialty pharmacy accounts, our business could be harmed.</w:t>
            </w:r>
          </w:p>
        </w:tc>
        <w:tc>
          <w:tcPr>
            <w:tcW w:w="34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580" w:type="dxa"/>
            <w:vAlign w:val="bottom"/>
            <w:gridSpan w:val="31"/>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Final marketing approval of any of our product candidates or approval of additional indications for existing products by the FDA or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480" w:type="dxa"/>
            <w:vAlign w:val="bottom"/>
            <w:tcBorders>
              <w:top w:val="single" w:sz="8" w:color="0000FF"/>
              <w:bottom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w w:val="98"/>
              </w:rPr>
              <w:t>other regulatory authorities may be delayed, limited, or denied, any of which would adversely affect our ability to generate operating</w:t>
            </w:r>
          </w:p>
        </w:tc>
        <w:tc>
          <w:tcPr>
            <w:tcW w:w="60" w:type="dxa"/>
            <w:vAlign w:val="bottom"/>
            <w:tcBorders>
              <w:bottom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9540" w:type="dxa"/>
            <w:vAlign w:val="bottom"/>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revenues.</w:t>
            </w: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0000FF"/>
            </w:tcBorders>
          </w:tcPr>
          <w:p>
            <w:pPr>
              <w:spacing w:after="0"/>
              <w:rPr>
                <w:sz w:val="18"/>
                <w:szCs w:val="18"/>
                <w:color w:val="auto"/>
              </w:rPr>
            </w:pPr>
          </w:p>
        </w:tc>
        <w:tc>
          <w:tcPr>
            <w:tcW w:w="9140" w:type="dxa"/>
            <w:vAlign w:val="bottom"/>
            <w:gridSpan w:val="29"/>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820" w:type="dxa"/>
            <w:vAlign w:val="bottom"/>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We rely on and will continue to rely on outsourcing arrangements for certain of our critical activities, including clinical research of our</w:t>
            </w: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w w:val="99"/>
              </w:rPr>
              <w:t>product candidates, manufacture of our compounds and product candidates, and the manufacture of our commercial products. If we fail</w:t>
            </w: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9760" w:type="dxa"/>
            <w:vAlign w:val="bottom"/>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to produce our products and product candidates in the volumes that we require on a timely basis or fail to comply with stringent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18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w w:val="99"/>
              </w:rPr>
              <w:t>regulations applicable to pharmaceutical drug manufacturers, we may face delays in the development and commercialization of</w:t>
            </w:r>
          </w:p>
        </w:tc>
        <w:tc>
          <w:tcPr>
            <w:tcW w:w="640" w:type="dxa"/>
            <w:vAlign w:val="bottom"/>
            <w:gridSpan w:val="15"/>
          </w:tcPr>
          <w:p>
            <w:pPr>
              <w:ind w:left="20"/>
              <w:spacing w:after="0" w:line="169" w:lineRule="exact"/>
              <w:rPr>
                <w:sz w:val="20"/>
                <w:szCs w:val="20"/>
                <w:color w:val="auto"/>
              </w:rPr>
            </w:pPr>
            <w:r>
              <w:rPr>
                <w:rFonts w:ascii="Times New Roman" w:cs="Times New Roman" w:eastAsia="Times New Roman" w:hAnsi="Times New Roman"/>
                <w:sz w:val="18"/>
                <w:szCs w:val="18"/>
                <w:color w:val="0000FF"/>
              </w:rPr>
              <w:t>our</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648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products and product candidates or be required to withdraw our products from the market.</w:t>
            </w:r>
          </w:p>
        </w:tc>
        <w:tc>
          <w:tcPr>
            <w:tcW w:w="2960" w:type="dxa"/>
            <w:vAlign w:val="bottom"/>
            <w:tcBorders>
              <w:top w:val="single" w:sz="8" w:color="0000FF"/>
            </w:tcBorders>
            <w:gridSpan w:val="9"/>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580" w:type="dxa"/>
            <w:vAlign w:val="bottom"/>
            <w:gridSpan w:val="31"/>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If we do not obtain marketing exclusivity for our product candidates, our business may suffer.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tcBorders>
              <w:top w:val="single" w:sz="8" w:color="0000FF"/>
            </w:tcBorders>
            <w:gridSpan w:val="10"/>
          </w:tcPr>
          <w:p>
            <w:pPr>
              <w:spacing w:after="0"/>
              <w:rPr>
                <w:sz w:val="18"/>
                <w:szCs w:val="18"/>
                <w:color w:val="auto"/>
              </w:rPr>
            </w:pPr>
          </w:p>
        </w:tc>
        <w:tc>
          <w:tcPr>
            <w:tcW w:w="3080" w:type="dxa"/>
            <w:vAlign w:val="bottom"/>
            <w:gridSpan w:val="20"/>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820" w:type="dxa"/>
            <w:vAlign w:val="bottom"/>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If our competitors develop or market alternatives for the treatment of our target indications, our commercial opportunities will be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928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reduced or eliminated.</w:t>
            </w:r>
          </w:p>
        </w:tc>
        <w:tc>
          <w:tcPr>
            <w:tcW w:w="1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gridSpan w:val="31"/>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We depend on collaborators to work with us to develop, manufacture and commercialize our products and product candidates. We have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740" w:type="dxa"/>
            <w:vAlign w:val="bottom"/>
            <w:tcBorders>
              <w:top w:val="single" w:sz="8" w:color="0000FF"/>
              <w:bottom w:val="single" w:sz="8" w:color="0000FF"/>
            </w:tcBorders>
            <w:gridSpan w:val="27"/>
          </w:tcPr>
          <w:p>
            <w:pPr>
              <w:spacing w:after="0" w:line="169" w:lineRule="exact"/>
              <w:rPr>
                <w:sz w:val="20"/>
                <w:szCs w:val="20"/>
                <w:color w:val="auto"/>
              </w:rPr>
            </w:pPr>
            <w:r>
              <w:rPr>
                <w:rFonts w:ascii="Times New Roman" w:cs="Times New Roman" w:eastAsia="Times New Roman" w:hAnsi="Times New Roman"/>
                <w:sz w:val="18"/>
                <w:szCs w:val="18"/>
                <w:color w:val="0000FF"/>
                <w:w w:val="99"/>
              </w:rPr>
              <w:t>in-licensed or acquired a portion of our intellectual property necessary to develop certain of our product candidates. If we fail to comply</w:t>
            </w:r>
          </w:p>
        </w:tc>
        <w:tc>
          <w:tcPr>
            <w:tcW w:w="40" w:type="dxa"/>
            <w:vAlign w:val="bottom"/>
            <w:tcBorders>
              <w:bottom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9780" w:type="dxa"/>
            <w:vAlign w:val="bottom"/>
            <w:gridSpan w:val="29"/>
          </w:tcPr>
          <w:p>
            <w:pPr>
              <w:spacing w:after="0" w:line="156" w:lineRule="exact"/>
              <w:rPr>
                <w:sz w:val="20"/>
                <w:szCs w:val="20"/>
                <w:color w:val="auto"/>
              </w:rPr>
            </w:pPr>
            <w:r>
              <w:rPr>
                <w:rFonts w:ascii="Times New Roman" w:cs="Times New Roman" w:eastAsia="Times New Roman" w:hAnsi="Times New Roman"/>
                <w:sz w:val="18"/>
                <w:szCs w:val="18"/>
                <w:color w:val="0000FF"/>
              </w:rPr>
              <w:t>with our obligations under any of these arrangements, we could lose the benefit of such collaborative relationships, including licenses</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962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or intellectual property rights.</w:t>
            </w:r>
          </w:p>
        </w:tc>
        <w:tc>
          <w:tcPr>
            <w:tcW w:w="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0000FF"/>
            </w:tcBorders>
            <w:gridSpan w:val="4"/>
          </w:tcPr>
          <w:p>
            <w:pPr>
              <w:spacing w:after="0"/>
              <w:rPr>
                <w:sz w:val="18"/>
                <w:szCs w:val="18"/>
                <w:color w:val="auto"/>
              </w:rPr>
            </w:pPr>
          </w:p>
        </w:tc>
        <w:tc>
          <w:tcPr>
            <w:tcW w:w="7680" w:type="dxa"/>
            <w:vAlign w:val="bottom"/>
            <w:gridSpan w:val="26"/>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7520" w:type="dxa"/>
            <w:vAlign w:val="bottom"/>
            <w:tcBorders>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w w:val="99"/>
              </w:rPr>
              <w:t>Our failure to successfully develop and market our product candidates would impair our ability to grow.</w:t>
            </w:r>
          </w:p>
        </w:tc>
        <w:tc>
          <w:tcPr>
            <w:tcW w:w="2300" w:type="dxa"/>
            <w:vAlign w:val="bottom"/>
            <w:gridSpan w:val="19"/>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580" w:type="dxa"/>
            <w:vAlign w:val="bottom"/>
            <w:gridSpan w:val="31"/>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Our clinical trials for our product candidates may fail to demonstrate acceptable levels of safety, efficacy, or other requirements, which</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0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could prevent or significantly delay regulatory approval.</w:t>
            </w:r>
          </w:p>
        </w:tc>
        <w:tc>
          <w:tcPr>
            <w:tcW w:w="5620" w:type="dxa"/>
            <w:vAlign w:val="bottom"/>
            <w:tcBorders>
              <w:top w:val="single" w:sz="8" w:color="0000FF"/>
            </w:tcBorders>
            <w:gridSpan w:val="19"/>
          </w:tcPr>
          <w:p>
            <w:pPr>
              <w:spacing w:after="0"/>
              <w:rPr>
                <w:sz w:val="14"/>
                <w:szCs w:val="14"/>
                <w:color w:val="auto"/>
              </w:rPr>
            </w:pPr>
          </w:p>
        </w:tc>
        <w:tc>
          <w:tcPr>
            <w:tcW w:w="140" w:type="dxa"/>
            <w:vAlign w:val="bottom"/>
            <w:gridSpan w:val="6"/>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580" w:type="dxa"/>
            <w:vAlign w:val="bottom"/>
            <w:gridSpan w:val="31"/>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Delays or failures in the completion of clinical development of our product candidates would increase our costs, delay, or limit our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9400" w:type="dxa"/>
            <w:vAlign w:val="bottom"/>
            <w:tcBorders>
              <w:top w:val="single" w:sz="8" w:color="0000FF"/>
            </w:tcBorders>
            <w:gridSpan w:val="17"/>
          </w:tcPr>
          <w:p>
            <w:pPr>
              <w:spacing w:after="0" w:line="149" w:lineRule="exact"/>
              <w:rPr>
                <w:sz w:val="20"/>
                <w:szCs w:val="20"/>
                <w:color w:val="auto"/>
              </w:rPr>
            </w:pPr>
            <w:r>
              <w:rPr>
                <w:rFonts w:ascii="Times New Roman" w:cs="Times New Roman" w:eastAsia="Times New Roman" w:hAnsi="Times New Roman"/>
                <w:sz w:val="17"/>
                <w:szCs w:val="17"/>
                <w:color w:val="0000FF"/>
              </w:rPr>
              <w:t>ability to generate revenues.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0000FF"/>
            </w:tcBorders>
            <w:gridSpan w:val="3"/>
          </w:tcPr>
          <w:p>
            <w:pPr>
              <w:spacing w:after="0"/>
              <w:rPr>
                <w:sz w:val="18"/>
                <w:szCs w:val="18"/>
                <w:color w:val="auto"/>
              </w:rPr>
            </w:pPr>
          </w:p>
        </w:tc>
        <w:tc>
          <w:tcPr>
            <w:tcW w:w="7800" w:type="dxa"/>
            <w:vAlign w:val="bottom"/>
            <w:gridSpan w:val="27"/>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820" w:type="dxa"/>
            <w:vAlign w:val="bottom"/>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Healthcare reform measures could hinder or prevent the commercial success of our products or product candidates.</w:t>
            </w: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Borders>
              <w:top w:val="single" w:sz="8" w:color="0000FF"/>
            </w:tcBorders>
            <w:gridSpan w:val="12"/>
          </w:tcPr>
          <w:p>
            <w:pPr>
              <w:spacing w:after="0"/>
              <w:rPr>
                <w:sz w:val="18"/>
                <w:szCs w:val="18"/>
                <w:color w:val="auto"/>
              </w:rPr>
            </w:pPr>
          </w:p>
        </w:tc>
        <w:tc>
          <w:tcPr>
            <w:tcW w:w="1540" w:type="dxa"/>
            <w:vAlign w:val="bottom"/>
            <w:gridSpan w:val="18"/>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820" w:type="dxa"/>
            <w:vAlign w:val="bottom"/>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Healthcare cost containment legislation and the failure of third-party payors to provide appropriate levels of coverage and</w:t>
            </w: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87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reimbursement for the use of products and treatments facilitated by our products could harm our business and prospects.</w:t>
            </w:r>
          </w:p>
        </w:tc>
        <w:tc>
          <w:tcPr>
            <w:tcW w:w="1060" w:type="dxa"/>
            <w:vAlign w:val="bottom"/>
            <w:gridSpan w:val="16"/>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20" w:type="dxa"/>
            <w:vAlign w:val="bottom"/>
            <w:gridSpan w:val="31"/>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156"/>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Any failure to comply with healthcare regulations, including implementation of any change in compliance with healthcare regulations</w:t>
            </w:r>
          </w:p>
        </w:tc>
        <w:tc>
          <w:tcPr>
            <w:tcW w:w="180" w:type="dxa"/>
            <w:vAlign w:val="bottom"/>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and laws could cause us to incur significant compliance expenses and any failure to comply could subject us to substantial penalties and</w:t>
            </w:r>
          </w:p>
        </w:tc>
        <w:tc>
          <w:tcPr>
            <w:tcW w:w="180" w:type="dxa"/>
            <w:vAlign w:val="bottom"/>
          </w:tcPr>
          <w:p>
            <w:pPr>
              <w:spacing w:after="0"/>
              <w:rPr>
                <w:sz w:val="13"/>
                <w:szCs w:val="13"/>
                <w:color w:val="auto"/>
              </w:rPr>
            </w:pPr>
          </w:p>
        </w:tc>
      </w:tr>
      <w:tr>
        <w:trPr>
          <w:trHeight w:val="169"/>
        </w:trPr>
        <w:tc>
          <w:tcPr>
            <w:tcW w:w="760" w:type="dxa"/>
            <w:vAlign w:val="bottom"/>
          </w:tcPr>
          <w:p>
            <w:pPr>
              <w:spacing w:after="0"/>
              <w:rPr>
                <w:sz w:val="14"/>
                <w:szCs w:val="14"/>
                <w:color w:val="auto"/>
              </w:rPr>
            </w:pPr>
          </w:p>
        </w:tc>
        <w:tc>
          <w:tcPr>
            <w:tcW w:w="602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fines. Our business, operations, and financial condition could be adversely affected.</w:t>
            </w:r>
          </w:p>
        </w:tc>
        <w:tc>
          <w:tcPr>
            <w:tcW w:w="378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99"/>
        </w:trPr>
        <w:tc>
          <w:tcPr>
            <w:tcW w:w="11020" w:type="dxa"/>
            <w:vAlign w:val="bottom"/>
            <w:gridSpan w:val="31"/>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We could be involved in additional lawsuits to protect or enforce our patents, which could be expensive, time consuming, distracting,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155"/>
        </w:trPr>
        <w:tc>
          <w:tcPr>
            <w:tcW w:w="76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and ultimately unsuccessful.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23"/>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0000FF"/>
            </w:tcBorders>
            <w:gridSpan w:val="6"/>
          </w:tcPr>
          <w:p>
            <w:pPr>
              <w:spacing w:after="0"/>
              <w:rPr>
                <w:sz w:val="19"/>
                <w:szCs w:val="19"/>
                <w:color w:val="auto"/>
              </w:rPr>
            </w:pPr>
          </w:p>
        </w:tc>
        <w:tc>
          <w:tcPr>
            <w:tcW w:w="8220" w:type="dxa"/>
            <w:vAlign w:val="bottom"/>
            <w:gridSpan w:val="24"/>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155"/>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Limitations on our patent rights relating to our products and product candidates may limit our ability to prevent third parties from</w:t>
            </w:r>
          </w:p>
        </w:tc>
        <w:tc>
          <w:tcPr>
            <w:tcW w:w="180" w:type="dxa"/>
            <w:vAlign w:val="bottom"/>
          </w:tcPr>
          <w:p>
            <w:pPr>
              <w:spacing w:after="0"/>
              <w:rPr>
                <w:sz w:val="13"/>
                <w:szCs w:val="13"/>
                <w:color w:val="auto"/>
              </w:rPr>
            </w:pPr>
          </w:p>
        </w:tc>
      </w:tr>
      <w:tr>
        <w:trPr>
          <w:trHeight w:val="156"/>
        </w:trPr>
        <w:tc>
          <w:tcPr>
            <w:tcW w:w="760" w:type="dxa"/>
            <w:vAlign w:val="bottom"/>
          </w:tcPr>
          <w:p>
            <w:pPr>
              <w:spacing w:after="0"/>
              <w:rPr>
                <w:sz w:val="13"/>
                <w:szCs w:val="13"/>
                <w:color w:val="auto"/>
              </w:rPr>
            </w:pPr>
          </w:p>
        </w:tc>
        <w:tc>
          <w:tcPr>
            <w:tcW w:w="93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competing with us.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3"/>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0000FF"/>
            </w:tcBorders>
            <w:gridSpan w:val="4"/>
          </w:tcPr>
          <w:p>
            <w:pPr>
              <w:spacing w:after="0"/>
              <w:rPr>
                <w:sz w:val="19"/>
                <w:szCs w:val="19"/>
                <w:color w:val="auto"/>
              </w:rPr>
            </w:pPr>
          </w:p>
        </w:tc>
        <w:tc>
          <w:tcPr>
            <w:tcW w:w="8900" w:type="dxa"/>
            <w:vAlign w:val="bottom"/>
            <w:gridSpan w:val="26"/>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155"/>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We face potential litigation and product liability exposures. If successful claims are brought against us, we may incur substantial</w:t>
            </w:r>
          </w:p>
        </w:tc>
        <w:tc>
          <w:tcPr>
            <w:tcW w:w="180" w:type="dxa"/>
            <w:vAlign w:val="bottom"/>
          </w:tcPr>
          <w:p>
            <w:pPr>
              <w:spacing w:after="0"/>
              <w:rPr>
                <w:sz w:val="13"/>
                <w:szCs w:val="13"/>
                <w:color w:val="auto"/>
              </w:rPr>
            </w:pPr>
          </w:p>
        </w:tc>
      </w:tr>
      <w:tr>
        <w:trPr>
          <w:trHeight w:val="156"/>
        </w:trPr>
        <w:tc>
          <w:tcPr>
            <w:tcW w:w="760" w:type="dxa"/>
            <w:vAlign w:val="bottom"/>
          </w:tcPr>
          <w:p>
            <w:pPr>
              <w:spacing w:after="0"/>
              <w:rPr>
                <w:sz w:val="13"/>
                <w:szCs w:val="13"/>
                <w:color w:val="auto"/>
              </w:rPr>
            </w:pPr>
          </w:p>
        </w:tc>
        <w:tc>
          <w:tcPr>
            <w:tcW w:w="922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liabilities.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1020" w:type="dxa"/>
            <w:vAlign w:val="bottom"/>
            <w:gridSpan w:val="31"/>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Cybersecurity incidents may adversely impact our financial condition, results of operations, and reputation. Security breaches and 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156"/>
        </w:trPr>
        <w:tc>
          <w:tcPr>
            <w:tcW w:w="76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w w:val="99"/>
              </w:rPr>
              <w:t>disruptions could compromise our information and expose us to liability which would cause our business and reputation to suffer.</w:t>
            </w:r>
          </w:p>
        </w:tc>
        <w:tc>
          <w:tcPr>
            <w:tcW w:w="4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23"/>
        </w:trPr>
        <w:tc>
          <w:tcPr>
            <w:tcW w:w="11020" w:type="dxa"/>
            <w:vAlign w:val="bottom"/>
            <w:gridSpan w:val="31"/>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Compliance with the terms and conditions of our Corporate Integrity Agreement requires significant resources and management time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r>
        <w:trPr>
          <w:trHeight w:val="155"/>
        </w:trPr>
        <w:tc>
          <w:tcPr>
            <w:tcW w:w="760" w:type="dxa"/>
            <w:vAlign w:val="bottom"/>
          </w:tcPr>
          <w:p>
            <w:pPr>
              <w:spacing w:after="0"/>
              <w:rPr>
                <w:sz w:val="13"/>
                <w:szCs w:val="13"/>
                <w:color w:val="auto"/>
              </w:rPr>
            </w:pPr>
          </w:p>
        </w:tc>
        <w:tc>
          <w:tcPr>
            <w:tcW w:w="958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and, if we fail to comply, we could be subject to penalties or, under certain circumstances, excluded from government healthcare</w:t>
            </w:r>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156"/>
        </w:trPr>
        <w:tc>
          <w:tcPr>
            <w:tcW w:w="76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programs, which would materially adversely affect our business.</w:t>
            </w:r>
          </w:p>
        </w:tc>
        <w:tc>
          <w:tcPr>
            <w:tcW w:w="460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515"/>
        </w:trPr>
        <w:tc>
          <w:tcPr>
            <w:tcW w:w="110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 and Capital Requirements</w:t>
            </w:r>
          </w:p>
        </w:tc>
        <w:tc>
          <w:tcPr>
            <w:tcW w:w="180" w:type="dxa"/>
            <w:vAlign w:val="bottom"/>
          </w:tcPr>
          <w:p>
            <w:pPr>
              <w:spacing w:after="0"/>
              <w:rPr>
                <w:sz w:val="24"/>
                <w:szCs w:val="24"/>
                <w:color w:val="auto"/>
              </w:rPr>
            </w:pPr>
          </w:p>
        </w:tc>
      </w:tr>
      <w:tr>
        <w:trPr>
          <w:trHeight w:val="194"/>
        </w:trPr>
        <w:tc>
          <w:tcPr>
            <w:tcW w:w="11020" w:type="dxa"/>
            <w:vAlign w:val="bottom"/>
            <w:gridSpan w:val="31"/>
          </w:tcPr>
          <w:p>
            <w:pPr>
              <w:ind w:left="4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56</w:t>
            </w:r>
          </w:p>
        </w:tc>
      </w:tr>
      <w:tr>
        <w:trPr>
          <w:trHeight w:val="155"/>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Our operating results may fluctuate significantly.</w:t>
            </w:r>
          </w:p>
        </w:tc>
        <w:tc>
          <w:tcPr>
            <w:tcW w:w="180" w:type="dxa"/>
            <w:vAlign w:val="bottom"/>
          </w:tcPr>
          <w:p>
            <w:pPr>
              <w:spacing w:after="0"/>
              <w:rPr>
                <w:sz w:val="13"/>
                <w:szCs w:val="13"/>
                <w:color w:val="auto"/>
              </w:rPr>
            </w:pPr>
          </w:p>
        </w:tc>
      </w:tr>
      <w:tr>
        <w:trPr>
          <w:trHeight w:val="399"/>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Borders>
              <w:top w:val="single" w:sz="8" w:color="0000FF"/>
            </w:tcBorders>
            <w:gridSpan w:val="7"/>
          </w:tcPr>
          <w:p>
            <w:pPr>
              <w:spacing w:after="0"/>
              <w:rPr>
                <w:sz w:val="24"/>
                <w:szCs w:val="24"/>
                <w:color w:val="auto"/>
              </w:rPr>
            </w:pPr>
          </w:p>
        </w:tc>
        <w:tc>
          <w:tcPr>
            <w:tcW w:w="6740" w:type="dxa"/>
            <w:vAlign w:val="bottom"/>
            <w:gridSpan w:val="23"/>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r>
      <w:tr>
        <w:trPr>
          <w:trHeight w:val="156"/>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Our ability to use our net operating loss carryforwards and other tax attributes may be limited or may expire prior to utilization.</w:t>
            </w:r>
          </w:p>
        </w:tc>
        <w:tc>
          <w:tcPr>
            <w:tcW w:w="180" w:type="dxa"/>
            <w:vAlign w:val="bottom"/>
          </w:tcPr>
          <w:p>
            <w:pPr>
              <w:spacing w:after="0"/>
              <w:rPr>
                <w:sz w:val="13"/>
                <w:szCs w:val="13"/>
                <w:color w:val="auto"/>
              </w:rPr>
            </w:pPr>
          </w:p>
        </w:tc>
      </w:tr>
      <w:tr>
        <w:trPr>
          <w:trHeight w:val="398"/>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160" w:type="dxa"/>
            <w:vAlign w:val="bottom"/>
            <w:tcBorders>
              <w:top w:val="single" w:sz="8" w:color="0000FF"/>
            </w:tcBorders>
            <w:gridSpan w:val="15"/>
          </w:tcPr>
          <w:p>
            <w:pPr>
              <w:spacing w:after="0"/>
              <w:rPr>
                <w:sz w:val="24"/>
                <w:szCs w:val="24"/>
                <w:color w:val="auto"/>
              </w:rPr>
            </w:pPr>
          </w:p>
        </w:tc>
        <w:tc>
          <w:tcPr>
            <w:tcW w:w="1100" w:type="dxa"/>
            <w:vAlign w:val="bottom"/>
            <w:gridSpan w:val="15"/>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155"/>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We have and may further expand our business through acquisitions of new product lines or businesses, which expose us to various</w:t>
            </w:r>
          </w:p>
        </w:tc>
        <w:tc>
          <w:tcPr>
            <w:tcW w:w="180" w:type="dxa"/>
            <w:vAlign w:val="bottom"/>
          </w:tcPr>
          <w:p>
            <w:pPr>
              <w:spacing w:after="0"/>
              <w:rPr>
                <w:sz w:val="13"/>
                <w:szCs w:val="13"/>
                <w:color w:val="auto"/>
              </w:rPr>
            </w:pPr>
          </w:p>
        </w:tc>
      </w:tr>
      <w:tr>
        <w:trPr>
          <w:trHeight w:val="155"/>
        </w:trPr>
        <w:tc>
          <w:tcPr>
            <w:tcW w:w="760" w:type="dxa"/>
            <w:vAlign w:val="bottom"/>
          </w:tcPr>
          <w:p>
            <w:pPr>
              <w:spacing w:after="0"/>
              <w:rPr>
                <w:sz w:val="13"/>
                <w:szCs w:val="13"/>
                <w:color w:val="auto"/>
              </w:rPr>
            </w:pPr>
          </w:p>
        </w:tc>
        <w:tc>
          <w:tcPr>
            <w:tcW w:w="938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risks, including difficulties in integrating acquisitions. Our recent acquisitions pose certain incremental risks to the Company.</w:t>
            </w:r>
          </w:p>
        </w:tc>
        <w:tc>
          <w:tcPr>
            <w:tcW w:w="2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1020" w:type="dxa"/>
            <w:vAlign w:val="bottom"/>
            <w:gridSpan w:val="31"/>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Any impairment in the value of our intangible assets, including goodwill, would negatively affect our operating results and 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r>
      <w:tr>
        <w:trPr>
          <w:trHeight w:val="155"/>
        </w:trPr>
        <w:tc>
          <w:tcPr>
            <w:tcW w:w="760" w:type="dxa"/>
            <w:vAlign w:val="bottom"/>
          </w:tcPr>
          <w:p>
            <w:pPr>
              <w:spacing w:after="0"/>
              <w:rPr>
                <w:sz w:val="13"/>
                <w:szCs w:val="13"/>
                <w:color w:val="auto"/>
              </w:rPr>
            </w:pPr>
          </w:p>
        </w:tc>
        <w:tc>
          <w:tcPr>
            <w:tcW w:w="920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capitalization.</w:t>
            </w:r>
          </w:p>
        </w:tc>
        <w:tc>
          <w:tcPr>
            <w:tcW w:w="100" w:type="dxa"/>
            <w:vAlign w:val="bottom"/>
            <w:gridSpan w:val="3"/>
          </w:tcPr>
          <w:p>
            <w:pPr>
              <w:spacing w:after="0"/>
              <w:rPr>
                <w:sz w:val="13"/>
                <w:szCs w:val="13"/>
                <w:color w:val="auto"/>
              </w:rPr>
            </w:pPr>
          </w:p>
        </w:tc>
        <w:tc>
          <w:tcPr>
            <w:tcW w:w="340" w:type="dxa"/>
            <w:vAlign w:val="bottom"/>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15"/>
        </w:trPr>
        <w:tc>
          <w:tcPr>
            <w:tcW w:w="110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Risks Related to Securities Markets and Investment in Our Stock</w:t>
            </w:r>
          </w:p>
        </w:tc>
        <w:tc>
          <w:tcPr>
            <w:tcW w:w="180" w:type="dxa"/>
            <w:vAlign w:val="bottom"/>
          </w:tcPr>
          <w:p>
            <w:pPr>
              <w:spacing w:after="0"/>
              <w:rPr>
                <w:sz w:val="24"/>
                <w:szCs w:val="24"/>
                <w:color w:val="auto"/>
              </w:rPr>
            </w:pPr>
          </w:p>
        </w:tc>
      </w:tr>
      <w:tr>
        <w:trPr>
          <w:trHeight w:val="194"/>
        </w:trPr>
        <w:tc>
          <w:tcPr>
            <w:tcW w:w="11020" w:type="dxa"/>
            <w:vAlign w:val="bottom"/>
            <w:gridSpan w:val="31"/>
          </w:tcPr>
          <w:p>
            <w:pPr>
              <w:ind w:left="4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61</w:t>
            </w:r>
          </w:p>
        </w:tc>
      </w:tr>
      <w:tr>
        <w:trPr>
          <w:trHeight w:val="155"/>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The issuance of additional shares of our common stock, or instruments convertible into or rights to acquire shares or our common stock,</w:t>
            </w:r>
          </w:p>
        </w:tc>
        <w:tc>
          <w:tcPr>
            <w:tcW w:w="180" w:type="dxa"/>
            <w:vAlign w:val="bottom"/>
          </w:tcPr>
          <w:p>
            <w:pPr>
              <w:spacing w:after="0"/>
              <w:rPr>
                <w:sz w:val="13"/>
                <w:szCs w:val="13"/>
                <w:color w:val="auto"/>
              </w:rPr>
            </w:pPr>
          </w:p>
        </w:tc>
      </w:tr>
      <w:tr>
        <w:trPr>
          <w:trHeight w:val="155"/>
        </w:trPr>
        <w:tc>
          <w:tcPr>
            <w:tcW w:w="760" w:type="dxa"/>
            <w:vAlign w:val="bottom"/>
          </w:tcPr>
          <w:p>
            <w:pPr>
              <w:spacing w:after="0"/>
              <w:rPr>
                <w:sz w:val="13"/>
                <w:szCs w:val="13"/>
                <w:color w:val="auto"/>
              </w:rPr>
            </w:pPr>
          </w:p>
        </w:tc>
        <w:tc>
          <w:tcPr>
            <w:tcW w:w="9820" w:type="dxa"/>
            <w:vAlign w:val="bottom"/>
            <w:tcBorders>
              <w:top w:val="single" w:sz="8" w:color="0000FF"/>
            </w:tcBorders>
            <w:gridSpan w:val="29"/>
          </w:tcPr>
          <w:p>
            <w:pPr>
              <w:spacing w:after="0" w:line="156" w:lineRule="exact"/>
              <w:rPr>
                <w:sz w:val="20"/>
                <w:szCs w:val="20"/>
                <w:color w:val="auto"/>
              </w:rPr>
            </w:pPr>
            <w:r>
              <w:rPr>
                <w:rFonts w:ascii="Times New Roman" w:cs="Times New Roman" w:eastAsia="Times New Roman" w:hAnsi="Times New Roman"/>
                <w:sz w:val="18"/>
                <w:szCs w:val="18"/>
                <w:color w:val="0000FF"/>
              </w:rPr>
              <w:t>or market sales of our common stock, could affect the market price of our common stock.</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398"/>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tcBorders>
              <w:top w:val="single" w:sz="8" w:color="0000FF"/>
            </w:tcBorders>
            <w:gridSpan w:val="11"/>
          </w:tcPr>
          <w:p>
            <w:pPr>
              <w:spacing w:after="0"/>
              <w:rPr>
                <w:sz w:val="24"/>
                <w:szCs w:val="24"/>
                <w:color w:val="auto"/>
              </w:rPr>
            </w:pPr>
          </w:p>
        </w:tc>
        <w:tc>
          <w:tcPr>
            <w:tcW w:w="3820" w:type="dxa"/>
            <w:vAlign w:val="bottom"/>
            <w:gridSpan w:val="19"/>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r>
        <w:trPr>
          <w:trHeight w:val="155"/>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Anti-takeover provisions under our charter documents and Delaware law could delay or prevent a change of control, which could</w:t>
            </w:r>
          </w:p>
        </w:tc>
        <w:tc>
          <w:tcPr>
            <w:tcW w:w="180" w:type="dxa"/>
            <w:vAlign w:val="bottom"/>
          </w:tcPr>
          <w:p>
            <w:pPr>
              <w:spacing w:after="0"/>
              <w:rPr>
                <w:sz w:val="13"/>
                <w:szCs w:val="13"/>
                <w:color w:val="auto"/>
              </w:rPr>
            </w:pPr>
          </w:p>
        </w:tc>
      </w:tr>
      <w:tr>
        <w:trPr>
          <w:trHeight w:val="156"/>
        </w:trPr>
        <w:tc>
          <w:tcPr>
            <w:tcW w:w="76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negatively impact the market price of our common stock.</w:t>
            </w:r>
          </w:p>
        </w:tc>
        <w:tc>
          <w:tcPr>
            <w:tcW w:w="5180" w:type="dxa"/>
            <w:vAlign w:val="bottom"/>
            <w:tcBorders>
              <w:top w:val="single" w:sz="8" w:color="0000FF"/>
            </w:tcBorders>
            <w:gridSpan w:val="11"/>
          </w:tcPr>
          <w:p>
            <w:pPr>
              <w:spacing w:after="0"/>
              <w:rPr>
                <w:sz w:val="13"/>
                <w:szCs w:val="13"/>
                <w:color w:val="auto"/>
              </w:rPr>
            </w:pPr>
          </w:p>
        </w:tc>
        <w:tc>
          <w:tcPr>
            <w:tcW w:w="340" w:type="dxa"/>
            <w:vAlign w:val="bottom"/>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48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r>
      <w:tr>
        <w:trPr>
          <w:trHeight w:val="691"/>
        </w:trPr>
        <w:tc>
          <w:tcPr>
            <w:tcW w:w="110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tc>
        <w:tc>
          <w:tcPr>
            <w:tcW w:w="180" w:type="dxa"/>
            <w:vAlign w:val="bottom"/>
          </w:tcPr>
          <w:p>
            <w:pPr>
              <w:spacing w:after="0"/>
              <w:rPr>
                <w:sz w:val="24"/>
                <w:szCs w:val="24"/>
                <w:color w:val="auto"/>
              </w:rPr>
            </w:pPr>
          </w:p>
        </w:tc>
      </w:tr>
      <w:tr>
        <w:trPr>
          <w:trHeight w:val="194"/>
        </w:trPr>
        <w:tc>
          <w:tcPr>
            <w:tcW w:w="11020" w:type="dxa"/>
            <w:vAlign w:val="bottom"/>
            <w:gridSpan w:val="31"/>
          </w:tcPr>
          <w:p>
            <w:pPr>
              <w:ind w:left="4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64</w:t>
            </w:r>
          </w:p>
        </w:tc>
      </w:tr>
      <w:tr>
        <w:trPr>
          <w:trHeight w:val="155"/>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Obtaining and maintaining patent protection depends on compliance with various procedural, document submission, fee payment, and</w:t>
            </w:r>
          </w:p>
        </w:tc>
        <w:tc>
          <w:tcPr>
            <w:tcW w:w="180" w:type="dxa"/>
            <w:vAlign w:val="bottom"/>
          </w:tcPr>
          <w:p>
            <w:pPr>
              <w:spacing w:after="0"/>
              <w:rPr>
                <w:sz w:val="13"/>
                <w:szCs w:val="13"/>
                <w:color w:val="auto"/>
              </w:rPr>
            </w:pPr>
          </w:p>
        </w:tc>
      </w:tr>
      <w:tr>
        <w:trPr>
          <w:trHeight w:val="156"/>
        </w:trPr>
        <w:tc>
          <w:tcPr>
            <w:tcW w:w="76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w w:val="98"/>
              </w:rPr>
              <w:t>other requirements imposed by governmental patent agencies. Our patent protection could be reduced or eliminated for non-compliance</w:t>
            </w:r>
          </w:p>
        </w:tc>
        <w:tc>
          <w:tcPr>
            <w:tcW w:w="140" w:type="dxa"/>
            <w:vAlign w:val="bottom"/>
            <w:tcBorders>
              <w:bottom w:val="single" w:sz="8" w:color="0000FF"/>
            </w:tcBorders>
            <w:gridSpan w:val="2"/>
          </w:tcPr>
          <w:p>
            <w:pPr>
              <w:spacing w:after="0"/>
              <w:rPr>
                <w:sz w:val="13"/>
                <w:szCs w:val="13"/>
                <w:color w:val="auto"/>
              </w:rPr>
            </w:pPr>
          </w:p>
        </w:tc>
        <w:tc>
          <w:tcPr>
            <w:tcW w:w="48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r>
      <w:tr>
        <w:trPr>
          <w:trHeight w:val="169"/>
        </w:trPr>
        <w:tc>
          <w:tcPr>
            <w:tcW w:w="760" w:type="dxa"/>
            <w:vAlign w:val="bottom"/>
          </w:tcPr>
          <w:p>
            <w:pPr>
              <w:spacing w:after="0"/>
              <w:rPr>
                <w:sz w:val="14"/>
                <w:szCs w:val="14"/>
                <w:color w:val="auto"/>
              </w:rPr>
            </w:pPr>
          </w:p>
        </w:tc>
        <w:tc>
          <w:tcPr>
            <w:tcW w:w="9780" w:type="dxa"/>
            <w:vAlign w:val="bottom"/>
            <w:gridSpan w:val="27"/>
          </w:tcPr>
          <w:p>
            <w:pPr>
              <w:spacing w:after="0" w:line="169" w:lineRule="exact"/>
              <w:rPr>
                <w:sz w:val="20"/>
                <w:szCs w:val="20"/>
                <w:color w:val="auto"/>
              </w:rPr>
            </w:pPr>
            <w:r>
              <w:rPr>
                <w:rFonts w:ascii="Times New Roman" w:cs="Times New Roman" w:eastAsia="Times New Roman" w:hAnsi="Times New Roman"/>
                <w:sz w:val="18"/>
                <w:szCs w:val="18"/>
                <w:color w:val="0000FF"/>
              </w:rPr>
              <w:t>with these requirements.</w:t>
            </w:r>
          </w:p>
        </w:tc>
        <w:tc>
          <w:tcPr>
            <w:tcW w:w="48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r>
      <w:tr>
        <w:trPr>
          <w:trHeight w:val="399"/>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0000FF"/>
            </w:tcBorders>
            <w:gridSpan w:val="5"/>
          </w:tcPr>
          <w:p>
            <w:pPr>
              <w:spacing w:after="0"/>
              <w:rPr>
                <w:sz w:val="24"/>
                <w:szCs w:val="24"/>
                <w:color w:val="auto"/>
              </w:rPr>
            </w:pPr>
          </w:p>
        </w:tc>
        <w:tc>
          <w:tcPr>
            <w:tcW w:w="8500" w:type="dxa"/>
            <w:vAlign w:val="bottom"/>
            <w:gridSpan w:val="25"/>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r>
      <w:tr>
        <w:trPr>
          <w:trHeight w:val="156"/>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Our insurance coverage may not be sufficient to cover our legal claims or other losses that we may incur in the future.</w:t>
            </w:r>
          </w:p>
        </w:tc>
        <w:tc>
          <w:tcPr>
            <w:tcW w:w="180" w:type="dxa"/>
            <w:vAlign w:val="bottom"/>
          </w:tcPr>
          <w:p>
            <w:pPr>
              <w:spacing w:after="0"/>
              <w:rPr>
                <w:sz w:val="13"/>
                <w:szCs w:val="13"/>
                <w:color w:val="auto"/>
              </w:rPr>
            </w:pPr>
          </w:p>
        </w:tc>
      </w:tr>
      <w:tr>
        <w:trPr>
          <w:trHeight w:val="398"/>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480" w:type="dxa"/>
            <w:vAlign w:val="bottom"/>
            <w:tcBorders>
              <w:top w:val="single" w:sz="8" w:color="0000FF"/>
            </w:tcBorders>
            <w:gridSpan w:val="12"/>
          </w:tcPr>
          <w:p>
            <w:pPr>
              <w:spacing w:after="0"/>
              <w:rPr>
                <w:sz w:val="24"/>
                <w:szCs w:val="24"/>
                <w:color w:val="auto"/>
              </w:rPr>
            </w:pPr>
          </w:p>
        </w:tc>
        <w:tc>
          <w:tcPr>
            <w:tcW w:w="1780" w:type="dxa"/>
            <w:vAlign w:val="bottom"/>
            <w:gridSpan w:val="18"/>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155"/>
        </w:trPr>
        <w:tc>
          <w:tcPr>
            <w:tcW w:w="760" w:type="dxa"/>
            <w:vAlign w:val="bottom"/>
          </w:tcPr>
          <w:p>
            <w:pPr>
              <w:spacing w:after="0"/>
              <w:rPr>
                <w:sz w:val="13"/>
                <w:szCs w:val="13"/>
                <w:color w:val="auto"/>
              </w:rPr>
            </w:pPr>
          </w:p>
        </w:tc>
        <w:tc>
          <w:tcPr>
            <w:tcW w:w="10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Our operations rely on sophisticated information technology, systems, and infrastructure, a disruption of which could harm our</w:t>
            </w:r>
          </w:p>
        </w:tc>
        <w:tc>
          <w:tcPr>
            <w:tcW w:w="180" w:type="dxa"/>
            <w:vAlign w:val="bottom"/>
          </w:tcPr>
          <w:p>
            <w:pPr>
              <w:spacing w:after="0"/>
              <w:rPr>
                <w:sz w:val="13"/>
                <w:szCs w:val="13"/>
                <w:color w:val="auto"/>
              </w:rPr>
            </w:pPr>
          </w:p>
        </w:tc>
      </w:tr>
      <w:tr>
        <w:trPr>
          <w:trHeight w:val="156"/>
        </w:trPr>
        <w:tc>
          <w:tcPr>
            <w:tcW w:w="760" w:type="dxa"/>
            <w:vAlign w:val="bottom"/>
          </w:tcPr>
          <w:p>
            <w:pPr>
              <w:spacing w:after="0"/>
              <w:rPr>
                <w:sz w:val="13"/>
                <w:szCs w:val="13"/>
                <w:color w:val="auto"/>
              </w:rPr>
            </w:pPr>
          </w:p>
        </w:tc>
        <w:tc>
          <w:tcPr>
            <w:tcW w:w="912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operations.</w:t>
            </w:r>
          </w:p>
        </w:tc>
        <w:tc>
          <w:tcPr>
            <w:tcW w:w="1140" w:type="dxa"/>
            <w:vAlign w:val="bottom"/>
            <w:gridSpan w:val="16"/>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commercial success of our products in the U.S.</w:t>
      </w:r>
    </w:p>
    <w:p>
      <w:pPr>
        <w:spacing w:after="0" w:line="18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Our financial performance, including our ability to replace revenue and income lost to generic products and other competitors as well as to grow our business, depends heavily on the commercial success of our products. A substantial amount of our resources is focused on generating, maintaining and/or expanding the revenue generated by our approved products in the U.S. Our major products 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represented approximately 38%, 20%, 16%, and 12% of our total net revenues for the year ended December 31, 2024, respectively. If any of our major products were to become subject to problems, such as changes in prescription growth rates, unexpected side effects, loss of intellectual property protection, supply chain or product supply shortages, regulatory proceedings, changes in labeling, publicity adversely affecting doctor or patient confidence in such product, material product liability litigation, pressure from new or existing competitive products, or adverse changes in coverage under managed care programs, the adverse impact on our revenue and profit could be significant. As noted in</w:t>
      </w:r>
    </w:p>
    <w:p>
      <w:pPr>
        <w:sectPr>
          <w:pgSz w:w="11900" w:h="16838" w:orient="portrait"/>
          <w:cols w:equalWidth="0" w:num="1">
            <w:col w:w="11220"/>
          </w:cols>
          <w:pgMar w:left="320" w:top="297" w:right="359" w:bottom="272"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272"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18"/>
          <w:szCs w:val="18"/>
          <w:color w:val="auto"/>
        </w:rPr>
        <w:t>the "Business" section of this report, sales of a generic version of 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Oxteller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began in January 2023 and September 2024, respectively. Those competitive products have significantly impacted the sales of Trokendi XR and Oxtellar XR, resulting in an adverse impact on our revenue and profit. In addition, our revenue and profit could be significantly impacted by the timing and rate of commercial acceptance of key new products.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generate significant product revenue from sales of our products in the near term will depend on, among other things, our ability to:</w:t>
      </w:r>
    </w:p>
    <w:p>
      <w:pPr>
        <w:spacing w:after="0" w:line="18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 patents, intellectual property, and products from the competition, both branded and generic;</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commercial manufacturing arrangements with third-party manufacturers;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through a validated process, sufficiently large quantities of our products to meet demand;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 wide variety of internal sales, distribution, and marketing capabilities, sufficient to sustain and grow revenue;</w:t>
      </w:r>
    </w:p>
    <w:p>
      <w:pPr>
        <w:spacing w:after="0" w:line="19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grow widespread acceptance of our products from physicians, health care payors, patients, pharmacists, and the medical community;</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price and obtain adequate reimbursement coverage of these products by governmental authorities, private health insurers, managed care organizations, and other third-party payors;</w:t>
      </w:r>
    </w:p>
    <w:p>
      <w:pPr>
        <w:spacing w:after="0" w:line="12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ongoing FDA labeling, packaging, storage, advertising, promotion, recordkeeping, safety, and other post-market requirements;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to expand the labeling of our approved products for additional indications;</w:t>
      </w:r>
    </w:p>
    <w:p>
      <w:pPr>
        <w:spacing w:after="0" w:line="18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against and effectively respond to any claims by holders of patents and other IP rights alleging that our products infringe their rights;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against and effectively respond to any unanticipated adverse effects or unfavorable publicity that develops with respect to our products, as well as respond to the emergence of new or existing competitive products, which may be proven to be more clinically effective and cost-effective.</w:t>
      </w: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There are no guarantees that we will be successful in completing these tasks. We will need to continue investing substantial financial and</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management resources to maintain our commercial sales and marketing infrastructure and recruit and train qualified marketing, sales, and other personnel.</w:t>
      </w:r>
    </w:p>
    <w:p>
      <w:pPr>
        <w:spacing w:after="0" w:line="17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Sales of our products may slow for a variety of reasons, including competing products or safety issues. Any increase in sales of our products will be dependent on several factors, including our ability to educate physicians, to increase physician awareness, and physician acceptance of the benefits and cost-effectiveness of our products relative to competing products.</w:t>
      </w:r>
    </w:p>
    <w:p>
      <w:pPr>
        <w:spacing w:after="0" w:line="135"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ability to increase market acceptance of any of our products or to gain market acceptance of approved product candidates among physicians, patients, health care payors, and the medical community will depend on a number of factors, including:</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Acceptable evidence of safety and efficacy;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nature, and severity of any adverse side effects;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branded and generic products;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 our products are subject to continual review by the FDA. We cannot provide assurance that newly discovered or reported safety issues would not arise. With the use of any marketed drug by a broader patient population, serious adverse events may occur from time to time that initially do not appear to be related to the drug itself. Any safety issues could cause us to suspend or to cease marketing of our approved products; cause us to modify how we market our approved products; subject us to</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substantial liabilities; and adversely affect our revenues and financial condition. In the event of a withdrawal of any of our products from the market, our revenues would decline significantly, and our business would be seriously harmed and could fail.</w:t>
      </w:r>
    </w:p>
    <w:p>
      <w:pPr>
        <w:spacing w:after="0" w:line="121"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expressed certain long term revenue expectations. If we are not successful in broadening and/or maintaining the current commercial acceptance of our products, such that we cannot achieve those revenue expectations with respect to such products, this could result in a material adverse impact on our anticipated revenue, earnings, and liquidity.</w:t>
      </w:r>
    </w:p>
    <w:p>
      <w:pPr>
        <w:spacing w:after="0" w:line="131"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generics or other versions of our products including generics containing one or more of the active pharmaceutical ingredients present in our products are approved and successfully commercialized, our business could be materially harmed.</w:t>
      </w:r>
    </w:p>
    <w:p>
      <w:pPr>
        <w:spacing w:after="0" w:line="13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Third parties have, and in the future may, receive approval to manufacture and market their own versions of products containing one or more of the active pharmaceutical ingredients present in our products in the U.S. For example, Upsher-Smith launched Qudexy XR (extended-release topiramate) and a branded generic version of Qudexy XR in 2014. Upsher-Smith also entered into a settlement with two generic companies to launch a generic to Qudexy XR in 2020. In February 2021, one of the generic companies, Glenmark, entered the U.S. market with its own therapeutically equivalent generic products to Qudexy XR.</w:t>
      </w:r>
    </w:p>
    <w:p>
      <w:pPr>
        <w:spacing w:after="0" w:line="14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settlement and license agreements with third parties, which permit the sale of generic versions of Trokendi XR and Oxtellar XR on January 2023 and September 2024, respectively. Sales of generic versions of Trokendi XR and Oxtellar XR began in 2023 and 2024, respectively. The Company has also entered into settlement and license agreements with third parties permitting the sale of the first generic version of XADAGO beginning in December 2027, or sooner under certain conditions. We have the right to defend our products against third parties who may infringe or are infringing our patents.</w:t>
      </w:r>
    </w:p>
    <w:p>
      <w:pPr>
        <w:spacing w:after="0" w:line="14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Third parties have, and in the future may, receive approval to manufacture and market their own products, including generics containing apomorphine hydrochloride, for the treatment of Parkinson’s Disease in the U.S. For example, in 2019, Acorda Therapeutics, Inc. launched Inbrija (acquired by Merz Pharmaceuticals, LLC in July 2024), an inhalable form of levodopa and Sunovion Pharmaceuticals, Inc. (Sunovion, a subsidiary of Sumitomo Dainippon Pharma Co. Ltd) launched KYNMOBI, a sublingual film formulation of apomorphine hydrochloride, in 2020 (later withdrawn from the U.S. in June 2023). In February 2022, the FDA approved the first generic containing apomorphine hydrochloride to treat hypomobility "OFF" episodes ("end-of-dose wearing off" and unpredictable "ON/OFF" episodes) associated with advanced Parkinson's Disease. This approval was for the drug cartridges only, which according to the FDA’s press release are to be used with the APOKYN pen, the brand-name pen injector, as the generic manufacturer did not seek approval of its own pen. Patients treated with generic apomorphine hydrochloride will need to separately obtain the APOKYN pen. The success of these products and the entry of new products could adversely impact the sales of APOKYN.</w:t>
      </w:r>
    </w:p>
    <w:p>
      <w:pPr>
        <w:spacing w:after="0" w:line="161"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To the extent any third party is successful in obtaining approval to manufacture and market a generic or its own version of a product containing one or more of the active pharmaceutical ingredients present in our products in the U.S., we may not be able to prospectively realize revenues from such products. Accordingly, our business and growth prospects could be materially impaired.</w:t>
      </w:r>
    </w:p>
    <w:p>
      <w:pPr>
        <w:spacing w:after="0" w:line="13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uncertainty relating to payment or managed care reimbursement policies, which, if not favorable for our products or product candidates, could hinder or prevent our commercial success.</w:t>
      </w:r>
    </w:p>
    <w:p>
      <w:pPr>
        <w:spacing w:after="0" w:line="11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is operating in an ever more challenging environment, with significant economic pressures exerted by federal and state governments, insurers, and private payors on the pricing of our products, affecting our ability to obtain and/or maintain satisfactory rates of reimbursement for our products. The U.S. federal and state governments and private payors are under intense pressure to control healthcare spending even more tightly than in the past. These pressures are further compounded by consolidation among distributors, retailers, private insurers, managed care organizations, and other private payors, resulting in an increase in their negotiating power, particularly with respect to our products. In addition, these pressures are intensified by increased, adverse publicity about pricing for pharmaceuticals. These prices are sometimes characterized as excessive, leading to government investigations and legal proceedings regarding pharmaceutical pricing practices.</w:t>
      </w:r>
    </w:p>
    <w:p>
      <w:pPr>
        <w:spacing w:after="0" w:line="16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Our ability, or our collaborators' ability, to successfully commercialize our products and product candidates, including Qelbree and ONAPGO (formerly known as SPN-830), will depend in part on the coverage and reimbursement levels set by governmental authorities, private health insurers, managed care organizations, and other third-party payors.</w:t>
      </w:r>
    </w:p>
    <w:p>
      <w:pPr>
        <w:spacing w:after="0" w:line="13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a threshold for coverage and reimbursement, third-party payors require that drug products be approved for marketing by the FDA. Third-party payors are increasingly challenging the effectiveness of and prices charged for medical products and services. Government authorities and third-party payors have attempted to control costs, in some instances, by limiting coverage, by limiting the amount of reimbursement for particular medications, or by encouraging the use of lower-cost generic products.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cannot be sure that reimbursement will be available for any of the products that we develop and, if reimbursement is available, the level of reimbursement. Moreover, that level of reimbursement may change over time as a result of requests from payors for higher levels of fees. Reduced or partial payment, or reduced reimbursement coverage, could make our products or product candidates less attractive to patients and prescribing physicians. We also may be required to sell our products or product candidates at a significant discount, which would adversely affect our ability to realize an appropriate return on our investment in our products or product candidates or to maintain profitability. Our business would also be adversely affected if private insurers, managed care organizations, the Medicare program, or other reimbursing bodies or payors limit the indications for which our products or product candidates will be reimbursed.</w:t>
      </w:r>
    </w:p>
    <w:p>
      <w:pPr>
        <w:spacing w:after="0" w:line="148"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We expect that private insurers and managed care organizations will consider the efficacy, cost effectiveness, and safety of our products or product candidates in determining whether to approve reimbursement for such products or product candidates and to what extent they will provide reimbursement. Moreover, they will consider the efficacy and cost effectiveness of comparable or competitive products, including generic products, in making reimbursement decisions for our products. Because each third-party payor individually approves payment or reimbursement, obtaining these approvals can be a time consuming and expensive process, requiring us to provide scientific or clinical support for the use of each of our products or product candidates separately to each third-party payor. In some cases, it could take months or years before a particular private insurer or managed care organization reviews a particular product. Prior to that time, reimbursement may be negligible. We may ultimately be unsuccessful in obtaining coverage. In addition, our competitors may have more extensive existing business relationships with third-party payors that could adversely impact the coverage for our products.</w:t>
      </w:r>
    </w:p>
    <w:p>
      <w:pPr>
        <w:spacing w:after="0" w:line="13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business would be materially and adversely affected if we do not receive reimbursement for our products or product candidates from private insurers in a timely fashion or on a satisfactory basis. Our products and product candidates may not be considered cost-effective, and coverage and reimbursement may not be available or economically sufficient to allow us to sell our products or product candidates on a profitable basis.</w:t>
      </w:r>
    </w:p>
    <w:p>
      <w:pPr>
        <w:spacing w:after="0" w:line="14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 addition, many managed care organizations negotiate the reimbursement price of products through the use of formularies, which establish reimbursement levels. Exclusion of a product from a formulary, as has occurred in the past, can lead to sharply reduced usage in the managed care organization's patient population because reimbursement is limited and/or negligible. If our products are not included within an adequate number of managed care formularies or reimbursed at adequate levels, or if those policies increasingly favor generic products, our market share and gross margins could be negatively affected. This would have a material adverse effect on our overall business and financial condition.</w:t>
      </w:r>
    </w:p>
    <w:p>
      <w:pPr>
        <w:spacing w:after="0" w:line="14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legislative initiatives designed to, among other things, bring more transparency to drug pricing, reduce the cost of prescription drugs under the Medicare program, to review the relationship between pricing and manufacturer patient programs, and to reform government reimbursement methodologies for drugs. For additional information, see "</w:t>
      </w:r>
      <w:r>
        <w:rPr>
          <w:rFonts w:ascii="Times New Roman" w:cs="Times New Roman" w:eastAsia="Times New Roman" w:hAnsi="Times New Roman"/>
          <w:sz w:val="18"/>
          <w:szCs w:val="18"/>
          <w:i w:val="1"/>
          <w:iCs w:val="1"/>
          <w:color w:val="auto"/>
        </w:rPr>
        <w:t>Healthcare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containment legislation and the failure of third-party payors to provide appropriate levels of coverage and reimbursement for the use of products and treatments facilitated by our products could harm our business and prospects.</w:t>
      </w:r>
      <w:r>
        <w:rPr>
          <w:rFonts w:ascii="Times New Roman" w:cs="Times New Roman" w:eastAsia="Times New Roman" w:hAnsi="Times New Roman"/>
          <w:sz w:val="18"/>
          <w:szCs w:val="18"/>
          <w:color w:val="auto"/>
        </w:rPr>
        <w:t>" We expect to experience pricing pressures in connection with the sale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products and product candidates due to the trend toward managed healthcare, the increasing influence of health maintenance organizations, additional cost containment initiatives, and additional legislative changes.</w:t>
      </w:r>
    </w:p>
    <w:p>
      <w:pPr>
        <w:spacing w:after="0" w:line="15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some foreign jurisdictions, where certain of our products are sold by third parties pursuant to license agreements with us, particularly Canada and Europe, the pricing of prescription pharmaceuticals is subject to strict governmental control. In these countries, pricing negotiations with governmental authorities can take 6 to 12 months, or longer, after the receipt of regulatory approval and product launch. To obtain favorable reimbursement for the indications sought, or to obtain pricing approval in some countries, we may be required to conduct a clinical trial that compares the cost-effectiveness of our products or product candidates, if approved, to other available therapies. If reimbursement for our products or product candidates is unavailable in any country in which reimbursement is sought or is limited in scope or amount, or if pricing is set at unsatisfactory levels, our business could be materially harmed and unprofitable.</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evidenced by the passage of the American Rescue Plan Act of 2021 and Inflation Reduction Act of 2022, discussed in greater detail below, we expect these challenges to continue and to potentially intensify during 2025, as political pressures mount, and healthcare payors, including government-controlled health authorities, insurance companies, and managed care organizations, step up initiatives to reduce the overall cost of healthcare, restrict access to higher-priced new medicines, increase the use of generic products and impose overall price cuts. Such pressures could have a material adverse impact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wholesalers, distributors, and specialty pharmacies for the distribution of our products. If we lose any of our significant wholesaler, distributor, or specialty pharmacy accounts, our business could be harmed.</w:t>
      </w:r>
    </w:p>
    <w:p>
      <w:pPr>
        <w:spacing w:after="0" w:line="11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product sales are to pharmaceutical wholesalers, specialty pharmacies, and distributors who, in turn, sell our products to pharmacies, hospitals, and other customers, including federal and state entities. The majority of sales of Qelbree, Oxtellar XR, Trokendi XR, XADAGO, and MYOBLOC are made to wholesalers and distributors. In addition, MYOBLOC is available for direct purchase by physicians and hospitals. The majority of sales of GOCOVRI and APOKYN are made to specialty pharmacies.</w:t>
      </w:r>
    </w:p>
    <w:p>
      <w:pPr>
        <w:spacing w:after="0" w:line="13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Each of our three major customers, Cencora, Inc., Cardinal Health, Inc., and McKesson Corporation, individually accounted for more than 20% of our total product revenue in 2024 and collectively accounted for more than 77% of our total product revenue in 2024.</w:t>
      </w:r>
    </w:p>
    <w:p>
      <w:pPr>
        <w:spacing w:after="0" w:line="13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loss of any of these wholesale pharmaceutical distributors or wholesale and specialty pharmacy accounts, or a material reduction in their purchases, could have a material adverse effect on our business, results of operations, financial condition, and prospects. In addition, these wholesale customers comprise a significant part of the distribution network for pharmaceutical products in the U.S. This distribution network has undergone and may continue to undergo significant consolidation marked by mergers and acquisitions. As a result, a small number of large wholesale distributors control a significant share of the market.</w:t>
      </w:r>
    </w:p>
    <w:p>
      <w:pPr>
        <w:spacing w:after="0" w:line="14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Consolidation of drug wholesalers has increased. This may result in increased competition and pricing pressures on pharmaceutical products. We cannot assure you that we can manage these pricing pressures or that wholesaler purchases will not fluctuate unexpectedly from period to period.</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Sales of our products can be greatly affected by the inventory levels that our respective wholesalers, specialty pharmacies, and distributors carry. We monitor wholesalers, specialty pharmacies, and distributor inventory of our products using a combination of methods. Pursuant to distribution service agreements with our three largest wholesale customers, we receive product inventory reports. For other wholesalers where we do not receive inventory reports, our estimates of wholesaler inventories may differ significantly from actual inventory levels. Significant differences between actual and estimated inventory levels may result in excessive stocking, resulting in our holding substantial quantities of unsold inventory, or, alternatively, inadequate supplies of product in the distribution channels. This could result in an inability to support sales at the retail level. These changes may cause our revenues to fluctuate significantly from quarter to quarter and, in some cases, may cause our operating results for a particular quarter to be below expectations.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times, wholesalers and distributors may increase inventory levels in response to anticipated price increases, resulting in both greater wholesaler purchases prior to the anticipated price increase and in reduced wholesaler purchases in later quarters. Accordingly, this may cause substantial fluctuations in our results of operations from period to period. If our financial results are below expectations for a particular period, the market price of our common stock may drop significantly.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market and sell our product candidates, if approved, in the U.S.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plan on expanding our sales and marketing capabilities in the U.S. to commercialize new product candidates if approved. This will require investing significant amounts of financial and management resources. If we are unable to establish and maintain adequate sales and marketing capabilities for new product candidates or do so in a timely manner, we may not be able to generate sufficient product revenues from our product candidates to be profitable. The cost of establishing and maintaining such marketing and sales capabilities may not be economically justifiable in light of the revenues generated by any of our product candidates. With the approval of a new product candidate, we may re-prioritize our marketing and sales efforts, including reassigning our sales representatives who support existing products to devote their full efforts to the launch of the new product candidate. This could have a detrimental impact on the future sales performance of existing products.</w:t>
      </w:r>
    </w:p>
    <w:p>
      <w:pPr>
        <w:spacing w:after="0" w:line="158"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Final marketing approval of any of our product candidates or approval of additional indications for existing products by the FDA or other regulatory authorities may be delayed, limited, or denied, any of which would adversely affect our ability to generate operating revenues.</w:t>
      </w:r>
    </w:p>
    <w:p>
      <w:pPr>
        <w:spacing w:after="0" w:line="11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dependent on obtaining regulatory approval of our product candidates and approval for additional indications for existing products. Our business depends on successful clinical development i.e., successful completion of clinical trials and completion of requisite manufacturing information. We are not permitted to market any of our product candidates in the U.S. until we receive approval of an NDA from the FDA or market in any foreign jurisdiction until we receive approval from the requisite authority. Satisfaction of regulatory requirements typically takes many years, is dependent upon the type, complexity, and novelty of the product, and requires the expenditure of substantial resources. We cannot predict whether or when we will obtain regulatory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to commercialize our product candidates. We cannot, therefore, predict the timing of any future revenues from these product candidates.</w:t>
      </w:r>
    </w:p>
    <w:p>
      <w:pPr>
        <w:spacing w:after="0" w:line="18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FDA has substantial discretion in the drug approval process, including the ability to delay, limit or deny approval of a product candidate or deny a prior approval supplement for many reasons. For example, the FDA</w:t>
      </w:r>
    </w:p>
    <w:p>
      <w:pPr>
        <w:spacing w:after="0" w:line="12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reject or delay the marketing application for an NCE;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determine that we cannot rely on Section 505(b)(2) for any approval of our product candidates;</w:t>
      </w:r>
    </w:p>
    <w:p>
      <w:pPr>
        <w:spacing w:after="0" w:line="18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determine that the information provided by us was inadequate, contained clinical deficiencies, or otherwise failed to demonstrate the safety and effectiveness of any of our product candidates for a specific indication;</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find the data from bioequivalence studies and/or clinical trials sufficient to support the submission of an NDA or to obtain marketing approval in the U.S.;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find the clinical and other benefits of our product candidates do not outweigh their safety risks;</w:t>
      </w:r>
    </w:p>
    <w:p>
      <w:pPr>
        <w:spacing w:after="0" w:line="18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with our trial design or our interpretation of data from preclinical studies, bioequivalence studies, and/or clinical trials, or may change the requirements for approval even after they have reviewed and commented on the design for our trials; the outcome and measurement scale used in the trials; or the clinical protocols whether with or without a special protocol assessment process;</w:t>
      </w:r>
    </w:p>
    <w:p>
      <w:pPr>
        <w:spacing w:after="0" w:line="13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we have identified the wrong reference listed drug or drugs, or that approval of our Section 505(b)(2) application of our product candidate is blocked by patent or non-patent exclusivity of the reference listed drug or drugs;</w:t>
      </w:r>
    </w:p>
    <w:p>
      <w:pPr>
        <w:spacing w:after="0" w:line="13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identify deficiencies in the manufacturing processes or facilities of third-party manufacturers with which we enter into agreements for the supply of raw materials, including the active pharmaceutical ingredient (API) or formulated product used in our product candidates, wherein those deficiencies may result in a delay in obtaining FDA approval or in an interruption in the ability to supply product;</w:t>
      </w:r>
    </w:p>
    <w:p>
      <w:pPr>
        <w:spacing w:after="0" w:line="13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reject or delay approval of a "prior approval supplement" required prior to distribution of the drug product made using changes that may impact product quality, identity strength, purity, or potency (i.e., major changes);</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approve our product candidates for fewer or more limited indications than we request, or may grant approval contingent on the performance of costly post-approval clinical trials;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their approval policies or adopt new regulations;</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labeling claims that we believe are necessary or desirable for the successful commercialization of our product candidates or may approve them with warnings and precautions that could limit the acceptance of our product candidates and their commercial success;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addition of new indications to the label of our existing products.</w:t>
      </w:r>
    </w:p>
    <w:p>
      <w:pPr>
        <w:spacing w:after="0" w:line="198"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Notwithstanding the approval of many products by the FDA pursuant to Sections 505(b)(1) and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w:t>
      </w:r>
    </w:p>
    <w:p>
      <w:pPr>
        <w:spacing w:after="0" w:line="1" w:lineRule="exact"/>
        <w:rPr>
          <w:sz w:val="20"/>
          <w:szCs w:val="20"/>
          <w:color w:val="auto"/>
        </w:rPr>
      </w:pPr>
    </w:p>
    <w:p>
      <w:pPr>
        <w:ind w:firstLine="8"/>
        <w:spacing w:after="0" w:line="26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that we submit. Any failure to obtain regulatory approval of our product candidates would eliminate our ability to generate revenues for that candidate. Any failure to obtain such approval for all of the indications and labeling claims we deem desirable could reduce our potential revenues.</w:t>
      </w:r>
    </w:p>
    <w:p>
      <w:pPr>
        <w:spacing w:after="0" w:line="14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process of obtaining regulatory clearances or approvals to market a medical device can be costly and time consuming. We may not be able to obtain these clearances or approvals on a timely basis, if at all. The FDA exercises significant discretion over the regulation of combination products, including drug and device components in a combination product.</w:t>
      </w:r>
    </w:p>
    <w:p>
      <w:pPr>
        <w:spacing w:after="0" w:line="13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FDA could in the future require additional regulation under the medical device provisions of the FDCA. We must comply with the QSR, which sets forth the FDA's cGMP, requirements for medical devices, and other applicable government regulations and corresponding foreign standards for drug cGMPs. If we fail to comply with these regulations, it could have a material adverse effect on our business and financial condition.</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February 2025, the FDA approved ONAPGO (apomorphine hydrochloride) injection (formerly SPN-830), as the first and only subcutaneous apomorphine infusion device for the treatment of motor fluctuations in adults with advanced PD.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for further information.</w:t>
      </w:r>
    </w:p>
    <w:p>
      <w:pPr>
        <w:spacing w:after="0" w:line="117" w:lineRule="exact"/>
        <w:rPr>
          <w:sz w:val="20"/>
          <w:szCs w:val="20"/>
          <w:color w:val="auto"/>
        </w:rPr>
      </w:pPr>
    </w:p>
    <w:p>
      <w:pPr>
        <w:ind w:right="2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and will continue to rely on outsourcing arrangements for certain of our critical activities, including clinical research of our product candidates, manufacture of our compounds and product candidates, and the manufacture of our commercial products. 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our products from the market.</w:t>
      </w:r>
    </w:p>
    <w:p>
      <w:pPr>
        <w:spacing w:after="0" w:line="14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rely on outsourcing arrangements for some of our critical activities, including manufacturing, preclinical and clinical research, data collection and analysis, and electronic submission of regulatory filings. We may have limited control over third parties, and we cannot guarantee that they will perform their obligations in an effective, competent, and timely manner. Our reliance on third parties, including third-party Clinical Research Organizations (CROs) and CMOs, entails risks including, but not limited to:</w:t>
      </w:r>
    </w:p>
    <w:p>
      <w:pPr>
        <w:spacing w:after="0" w:line="15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third parties with regulatory and quality control standards;</w:t>
      </w:r>
    </w:p>
    <w:p>
      <w:pPr>
        <w:spacing w:after="0" w:line="184" w:lineRule="exact"/>
        <w:rPr>
          <w:rFonts w:ascii="Times New Roman" w:cs="Times New Roman" w:eastAsia="Times New Roman" w:hAnsi="Times New Roman"/>
          <w:sz w:val="18"/>
          <w:szCs w:val="18"/>
          <w:color w:val="auto"/>
        </w:rPr>
      </w:pPr>
    </w:p>
    <w:p>
      <w:pPr>
        <w:ind w:left="980" w:right="9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by regulatory authorities if materials supplied or manufactured by a third party supplier or manufacturer fail to comply with applicable regulatory standards;</w:t>
      </w:r>
    </w:p>
    <w:p>
      <w:pPr>
        <w:spacing w:after="0" w:line="121" w:lineRule="exact"/>
        <w:rPr>
          <w:rFonts w:ascii="Times New Roman" w:cs="Times New Roman" w:eastAsia="Times New Roman" w:hAnsi="Times New Roman"/>
          <w:sz w:val="18"/>
          <w:szCs w:val="18"/>
          <w:color w:val="auto"/>
        </w:rPr>
      </w:pPr>
    </w:p>
    <w:p>
      <w:pPr>
        <w:ind w:left="980" w:right="96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breach of the agreements by the CROs or CMOs because of factors beyond our control, insolvency or other financial difficulties of any of these third parties; labor unrest; natural disasters; or other factors adversely affecting their ability to conduct their business; and</w:t>
      </w:r>
    </w:p>
    <w:p>
      <w:pPr>
        <w:spacing w:after="0" w:line="148" w:lineRule="exact"/>
        <w:rPr>
          <w:rFonts w:ascii="Times New Roman" w:cs="Times New Roman" w:eastAsia="Times New Roman" w:hAnsi="Times New Roman"/>
          <w:sz w:val="18"/>
          <w:szCs w:val="18"/>
          <w:color w:val="auto"/>
        </w:rPr>
      </w:pPr>
    </w:p>
    <w:p>
      <w:pPr>
        <w:ind w:left="980" w:right="84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an agreement by a third party at a time that is inconvenient for us and for reasons not entirely under our control.</w:t>
      </w:r>
    </w:p>
    <w:p>
      <w:pPr>
        <w:spacing w:after="0" w:line="1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commercial production of any of our products or for production of clinical supplies of our product candidates, nor do we have plans to do so in the future. We currently depend on third-party clinical manufacturing organizations (CMOs), who offer a comprehensive range of contract manufacturing and packaging services, in various countries for the supply of API for our products and product candidates, including raw materials and drug substances for our preclinical research and clinical trials. For most of our products and product candidates, we rely on single source suppliers to produce and package final dosage forms for our products and raw materials, including API. If any of these vendors are unable to perform their obligations to us, including due to violations of the FDA's requirements, our ability to meet regulatory requirements, projected timelines, and necessary quality standards for the development or commercialization of products would be adversely affected. Further, if we were required to change suppliers, it could result in substantial delays in our regulatory approval efforts, significantly increase our costs, and delay generation of revenues. Accordingly, the loss of any of our current or future third-party manufacturers or suppliers could have a material adverse effect on our business, results of operations, financial condition, and business prospects.</w:t>
      </w:r>
    </w:p>
    <w:p>
      <w:pPr>
        <w:spacing w:after="0" w:line="15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There is a risk that supplies of our products or product candidates may be significantly delayed by or may become unavailable as a result of manufacturing, equipment, process, supply chain or business-related issues or geopolitical events affecting our suppliers. At this time while we do not know of any geopolitical events impacting our supply chain, we cannot determine the impact of current or future geopolitical events which may ultimately have an impact on our supply chains or may create other unforeseen consequences affecting us or our suppliers. Any future curtailment in the availability of raw materials or finished goods could result in production or other delays, resulting adverse business effects. In addition, because regulatory authorities must generally approve raw material sources for pharmaceutical products, changes in raw material suppliers may result in production delays or higher raw material costs. We may also encounter similar risks with the other products and product candidates where raw materials or finished goods are purchased from suppliers outside the U.S., as is the case for example for ONAPGO (formerly known as SPN-830), Qelbree, APOKYN, XADAGO, and MYOBLOC where various suppliers are based in Europe.</w:t>
      </w:r>
    </w:p>
    <w:p>
      <w:pPr>
        <w:spacing w:after="0" w:line="16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Pharmaceutical companies and their suppliers often encounter difficulties in manufacturing, particularly in scaling up the production of their products. These problems can adversely affect production costs and yields, quality control, the stability of the product and quality assurance testing, as well as compliance with federal, state, and foreign regulations. If we are unable to demonstrate stability in accordance with commercial requirements, or if our manufacturers were to encounter difficulties or otherwise fail to comply with their obligations to us, our ability to obtain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or maintain FDA approval and to market our products and product candidates, respectively, would be jeopardized. In addition, any delay or interruption in producing clinical trial supplies could delay or prohibit the completion of our clinical trials, increase the costs associated with conducting our clinical trials and, depending upon the period of delay, require us to commence new trials at the significant additional expense or to terminate a trial.</w:t>
      </w:r>
    </w:p>
    <w:p>
      <w:pPr>
        <w:spacing w:after="0" w:line="13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Manufacturers of pharmaceutical products need to comply with cGMP requirements and other requirements enforced by the FDA, including electronic tracking and submission. These requirements include quality control, quality assurance, and the maintenance of records and documentation. Manufacturers of our products and product candidates may be unable to comply with all cGMP requirements and other FDA and similar foreign regulatory requirements. Failure to comply with these requirements may result in fines and civil penalties, suspension of production, suspension or delay in product approval, product seizure or recall, or withdrawal of product approval. If the safety of any of our products or product candidates is compromised due to failure to adhere to applicable laws or for other reasons, we may not be able to obtain regulatory approval for such product candidates or to successfully commercialize such products. We may be held liable for any injuries sustained as a result. Any of these factors could cause a delay in clinical development, regulatory submissions, approvals, or commercialization of our product candidates, entail higher costs, or result in our being unable to effectively commercialize our product candidates. Furthermore, if we fail to obtain the required commercial quantities on a timely basis from our suppliers and at commercially reasonable prices, we may be unable to meet the demand for our approved products or may not be able to sell our products profitably.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marketing exclusivity for our product candidates, our business may suffer.</w:t>
      </w:r>
    </w:p>
    <w:p>
      <w:pPr>
        <w:spacing w:after="0" w:line="20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Under the Hatch-Waxman Amendments, three years of marketing exclusivity may be granted for the approval of NDAs and sNDAs, including Section 505(b)(2) applications, for, among other things, new indications, dosage forms, routes of administration, strengths, or for a new use of an existing drug. If the clinical investigations that were conducted or sponsored by the applicant are determined by the FDA to be essential to the approval of the application, the FDA may grant exclusivity for the product, sometimes referred to as clinical investigation exclusivity. This prevents the FDA from approving an application under Section 505(b)(2) for the same conditions of use for new clinical investigations prior to the expiration of three years from the date of approval. Such exclusivity, however, would not prevent the approval of another application if the applicant submits a full NDA and has conducted its own adequate, well-controlled clinical trials, demonstrating safety and efficacy. It would not prevent approval of a generic product or Section 505(b)(2) product that did not incorporate the exclusivity-protected changes of the approved drug product.</w:t>
      </w:r>
    </w:p>
    <w:p>
      <w:pPr>
        <w:spacing w:after="0" w:line="1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Hatch-Waxman Amendments, newly-approved drugs and indications may also benefit from a statutory period of non-patent marketing exclusivity. The Hatch-Waxman Amendments provide five-year marketing exclusivity to the first applicant to gain the approval of an NDA for an NCE. This would be the case if the FDA had not previously approved any other drug containing the same API or active moiety, which is the molecule responsible for the action of the drug substance. Although protection under the Hatch-Waxman Amendments will not prevent the submission or approval of another full NDA, such an NDA applicant would be required to conduct its own preclinical and adequate, well-controlled clinical trials to demonstrate safety and effectiveness.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the Company has a five-year marketing exclusivity period for Qelbree.</w:t>
      </w:r>
    </w:p>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obtain marketing exclusivity for our subsequent product candidates, then our competitors may obtain approval for competing products more easily than if we had such marketing exclusivity. In such an event, our future revenues could be reduced materially.</w:t>
      </w:r>
    </w:p>
    <w:p>
      <w:pPr>
        <w:spacing w:after="0" w:line="117"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or other applicable regulatory authorities approve generic products that compete with any of our products or product candidates, the sales of our products or the commercial success of our product candidates would be adversely affected.</w:t>
      </w:r>
    </w:p>
    <w:p>
      <w:pPr>
        <w:spacing w:after="0" w:line="11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Once an NDA, including a Section 505(b)(2) application, is approved, the product covered thereby becomes a listed drug, which can be cited by potential competitors in support of approval of an ANDA. FDCA,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and conditions of use or labeling, as our product or product candidate and that the generic product is bioequivalent to our product. Bioequivalence implies that a product is absorbed in the body at the same rate and to the same extent as our product or product candidate. These generic equivalents, which must meet the same quality standards as branded pharmaceuticals, would be significantly less costly than ours to bring to market. Companies that produce generic equivalents are generally able to offer their products at significantly lower prices. Thus, regardless of the regulatory approval pathway, after the introduction of a generic competitor, a significant percentage of the sales of any branded product are typically lost to the generic product through</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both price and volume erosion. Accordingly, as we have observed with Trokendi XR and Oxtellar XR, competition from generic equivalents adversely, materially, and permanently impact our revenues, profitability, and cash flows from those products and may substantially limit our ability to obtain a return on the investments we have made in our products.</w:t>
      </w:r>
    </w:p>
    <w:p>
      <w:pPr>
        <w:spacing w:after="0" w:line="131"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develop or market alternatives for the treatment of our target indications, our commercial opportunities will be reduced or eliminated.</w:t>
      </w:r>
    </w:p>
    <w:p>
      <w:pPr>
        <w:spacing w:after="0" w:line="11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pharmaceutical industry is characterized by rapidly advancing technologies, intense product-driven competition, and a strong emphasis on proprietary therapeutics. We face competition from a number of sources, some of which may target the same indications as to our products and product candidates. These include large pharmaceutical companies, smaller pharmaceutical companies, biotechnology companies, academic institutions, government agencies, and private and public research institutions. The availability of new products or the approval of new indications for existing products may limit the demand for and the price we are able to charge for any of our products. We may be unable to differentiate our products from competitive offerings.</w:t>
      </w:r>
    </w:p>
    <w:p>
      <w:pPr>
        <w:spacing w:after="0" w:line="160"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In addition to competition for our current commercial products, we anticipate that we will face intense competition when our pipeline product candidates are approved by regulatory authorities and begin their commercialization process. In particular, we are aware of Serina Therapeutics developing a product candidate that may compete with ONAPGO (formerly SPN-830). Also, AbbVie has developed and received FDA approval in October 2024 to market a subcutaneous 24-hour infusion of levodopa-based therapy for the treatment of motor fluctuations in adults with advanced Parkinson disease (PD).</w:t>
      </w:r>
    </w:p>
    <w:p>
      <w:pPr>
        <w:spacing w:after="0" w:line="124"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New developments, including the development of other drug technologies, may render our products or product candidates obsolete or noncompetitive. As a result, demand for our product may significantly decline or our products and product candidates may become obsolete before we recover expenses incurred in connection with their development or realize revenues from their commercialization. Moreover, many competitors have substantially greater:</w:t>
      </w:r>
    </w:p>
    <w:p>
      <w:pPr>
        <w:spacing w:after="0" w:line="13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and experience, including personnel and technology;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clinical trial and regulatory resources and experience, including personnel and technology;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resources and experience;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distribution resources and experience;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recognition;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experience and expertise in prosecution and enforcement of intellectual property rights.</w:t>
      </w:r>
    </w:p>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these factors, our competitors may obtain regulatory approval of their products more rapidly than we are able to or may obtain patent protection or other intellectual property rights that limit or block us from developing or commercializing our product candidates. Our competitors may also develop drugs that are more effective, have faster onset to action, better tolerated, subject to fewer or less severe side effects, more widely prescribed or accepted, or less costly than ours. They may also be more successful than us in manufacturing and marketing their products. If we are unable to compete effectively with the products of our competitors, or if such competitors are successful in developing products that compete with any of our approved product candidates, our business, results of operations, financial condition, and prospects may be materially and adversely affected. Mergers and acquisitions in the pharmaceutical industry may result in an even higher level of resources being concentrated at competitors. Competition may intensify as a result of advances made in the commercial applicability of technologies and as a result of greater availability of capital for investment.</w:t>
      </w:r>
    </w:p>
    <w:p>
      <w:pPr>
        <w:spacing w:after="0" w:line="147"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our product candidates may be subject to restrictions or withdrawal from the market. We may be subject to penalties if we fail to comply with regulatory requirements.</w:t>
      </w:r>
    </w:p>
    <w:p>
      <w:pPr>
        <w:spacing w:after="0" w:line="11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Even though U.S. regulatory approval has been obtained for our products, the FDA may impose significant restrictions on their indicated uses, or may impose restrictions on marketing, or may impose requirements for costly post-approval studies. For example, certain of our products, including Qelbree, ONAPGO, Oxtellar XR, Trokendi XR, and MYOBLOC, were approved on the basis of post-approval commitments.</w:t>
      </w:r>
    </w:p>
    <w:p>
      <w:pPr>
        <w:spacing w:after="0" w:line="14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post-marketing commitments for Qelbree including the requirement to conduct a clinical efficacy and six month open label safety extension study for ADHD in pediatric patients 4 to 5 years of age, a lactation study and a descriptive study related to the use of Qelbree during pregnancy, and to assess the risks of adverse events and potential complications. We are</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working toward meeting these post-marketing commitments for Qelbree in a timely manner. We also have post-marketing commitment to conduct a new leachable study for ONAPGO, which was approved by the FDA in February 2025.</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also have post-marketing commitments for Oxtellar XR and MYOBLOC. Although we have initiated work on some of these post-marketing commitments, we have not been able to accomplish them. We were released from the majority of our post-marketing commitments for Trokendi XR in 2024. If we do not meet our post-marketing commitments and are unable to show good cause for our inability to adhere to the timetables laid out in the approval letters, the FDA could take enforcement action against us, including withdrawal of approval.</w:t>
      </w:r>
    </w:p>
    <w:p>
      <w:pPr>
        <w:spacing w:after="0" w:line="1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products, product candidates, and our collaborators' approved products are subject to ongoing FDA requirements governing the labeling, packaging, storage, advertising, promotion, recordkeeping, and submission of safety and other information. In addition, manufacturers of drug products and their facilities are subject to continual review and periodic inspections by the FDA and other regulatory authorities for compliance with current good manufacturing practice (cGMP) regulations. If we, our collaborators, or a regulatory authority discover previously unknown problems with a product, including side effects that are unanticipated in severity or frequency, or problems with the facility where the product is manufactured, a regulatory authority may impose restrictions on that product or on the manufacturer, including requiring withdrawal of the product from the market or suspension of manufacturing.</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If we or our collaborators, or our products, product candidates, or our collaborators' products, or the manufacturing facilities for our products, product candidates or our collaborators' products fail to comply with applicable regulatory requirements, a regulatory authority may:</w:t>
      </w:r>
    </w:p>
    <w:p>
      <w:pPr>
        <w:spacing w:after="0" w:line="121"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regulatory approval;</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bioequivalence and/or clinical trials;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98" w:lineRule="exact"/>
        <w:rPr>
          <w:rFonts w:ascii="Times New Roman" w:cs="Times New Roman" w:eastAsia="Times New Roman" w:hAnsi="Times New Roman"/>
          <w:sz w:val="18"/>
          <w:szCs w:val="18"/>
          <w:color w:val="auto"/>
        </w:rPr>
      </w:pPr>
    </w:p>
    <w:p>
      <w:pPr>
        <w:ind w:left="980" w:right="90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operations, including costly new manufacturing requirements, or suspend production for a sustained period of time; or</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us to initiate a product recall.</w:t>
      </w:r>
    </w:p>
    <w:p>
      <w:pPr>
        <w:spacing w:after="0" w:line="185" w:lineRule="exact"/>
        <w:rPr>
          <w:sz w:val="20"/>
          <w:szCs w:val="20"/>
          <w:color w:val="auto"/>
        </w:rPr>
      </w:pPr>
    </w:p>
    <w:p>
      <w:pPr>
        <w:ind w:right="260" w:firstLine="648"/>
        <w:spacing w:after="0" w:line="272" w:lineRule="auto"/>
        <w:rPr>
          <w:sz w:val="20"/>
          <w:szCs w:val="20"/>
          <w:color w:val="auto"/>
        </w:rPr>
      </w:pPr>
      <w:r>
        <w:rPr>
          <w:rFonts w:ascii="Times New Roman" w:cs="Times New Roman" w:eastAsia="Times New Roman" w:hAnsi="Times New Roman"/>
          <w:sz w:val="17"/>
          <w:szCs w:val="17"/>
          <w:color w:val="auto"/>
        </w:rPr>
        <w:t>In addition, our product labeling, advertising, and promotion of our approved products are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Notwithstanding, physicians may nevertheless prescribe products to their patients in a manner that is inconsistent with the approved label, which is known as "off label use". The FDA and other authorities actively enforce the laws and regulations prohibiting the promotion of off-label uses, and a company that is found to have promoted off-label use may be subject to significant sanctions. The federal government has levied large civil and criminal fines against companies for alleged improper promotion and has enjoined companies from engaging in off-label promotion. If we are found to have promoted off-label use, we may be enjoined from such off-label promotion and become subject to significant liability. This could have an adverse effect on our reputation, business, revenues, and profits.</w:t>
      </w:r>
    </w:p>
    <w:p>
      <w:pPr>
        <w:spacing w:after="0" w:line="14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Further, the FDA's policies may prospectively change. Additional government regulations may be enacted that could affect our products or prevent, limit or delay regulatory approval of our product candidates. If we are unable to adapt on a timely basis, or at all, to changes in existing requirements or to adopt new requirements or policies, or if we are not able to maintain regulatory compliance, we may lose any marketing approval that we have obtained, adversely affecting our business, prospects, and ability to achieve or sustain profitability.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collaborators to work with us to develop, manufacture and commercialize their and our products and product candidates. We have in-licensed or acquired a portion of our intellectual property necessary to develop certain of our product candidates. If we fail to comply with our obligations under any of these arrangements, we could lose the benefit of such collaborative relationships, including licenses or intellectual property rights.</w:t>
      </w:r>
    </w:p>
    <w:p>
      <w:pPr>
        <w:spacing w:after="0" w:line="14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Under the Britannia Supply Agreement, we have been granted certain intellectual property and product rights in relation to APOKYN, including the right to use and market APOKYN in the United States. Additionally, the Britannia Supply Agreement grants Britannia certain intellectual property and product rights in relation to APOKYN, including the right to use and market APOKYN in the rest of the world, excluding the United States. Per the Agreement, Britannia has an obligation to supply us with APOKYN for our marketing and sale of the product.</w:t>
      </w:r>
    </w:p>
    <w:p>
      <w:pPr>
        <w:spacing w:after="0" w:line="13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Britannia may terminate its obligation to supply APOKYN for cause, or at any time, by giving at least twenty-four months' written notice. The Britannia Supply Agreement does not provide technology transfer assistance from Britannia to any new suppliers we might engage following termination. In addition, the Britannia Supply Agreement is silent in providing us with an explicit license grant to any intellectual property, or to access know-how necessary or useful for manufacturing APOKYN. If we materially breach the Britannia Supply Agreement, or Britannia chooses to terminate the Britannia Supply Agreement for convenience, we could lose the right and resources necessary for the manufacture of APOKYN or could incur significant costs implementing technology transfer assistance.</w:t>
      </w:r>
    </w:p>
    <w:p>
      <w:pPr>
        <w:spacing w:after="0" w:line="16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also have agreements with leading CMOs to manufacture other commercial products and the API for such products. These CMOs offer a comprehensive range of contract manufacturing services.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 license agreement with United Therapeutics Corporation to use one of our proprietary technologies in an oral formulation of treprostinil diethanolamine, or treprostinil, for the treatment of pulmonary arterial hypertension and for other indications. The Company is eligible to receive, and has received royalties under this agreement based on net product sales of United Therapeutics Corporation's product, Orenitram (treprostinil). We are entitled to receive milestones and royalties for the use of this formulation in indications other than arterial hypertension.</w:t>
      </w:r>
    </w:p>
    <w:p>
      <w:pPr>
        <w:spacing w:after="0" w:line="13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Namzaric (memantine hydrochloride extended release and donepezil hydrochloride) capsules for the treatment of moderate to severe dementia of an Alzheimer's type is currently marketed by Allergan plc under an exclusive license agreement between Adamas Pharmaceuticals, LLC and Forest Laboratories Holdings Limited ("Forest"), an indirect, wholly-owned subsidiary of Allergan plc (collectively, "Allergan") in the United States. Adamas Pharmaceuticals LLC receives royalties on net sales of Namzaric.</w:t>
      </w:r>
    </w:p>
    <w:p>
      <w:pPr>
        <w:spacing w:after="0" w:line="15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rely on third-party collaborators and strategic partners to market and commercialize our products and product candidates outside the U.S. We are party to and rely on several arrangements with third parties which provide us with rights to intellectual property that are necessary for the development of certain of our product candidates. In addition, we may enter into similar arrangements in the future for other product candidates. Our current arrangements impose various development, financial and other obligations on us. If we materially breach these obligations, of if third parties fail to adequately perform their respective obligations, these arrangements could be terminated which could result in our inability to develop, manufacture, market and sell products that are covered by such intellectual properties. We may not have sufficient resources to successfully establish future collaborations or license future arrangements on acceptable terms, if at all. We also face competition in our search for collaborators and licensing partners. By entering into strategic collaborations or similar arrangements, we rely on third parties to financially support their local operations, including support required for development, commercialization, sales, marketing, and regulatory activities, as well as expertise in each of those subject areas.</w:t>
      </w:r>
    </w:p>
    <w:p>
      <w:pPr>
        <w:spacing w:after="0" w:line="146"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Part I, Item 1—Business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Collaborations and Licensing Agreements</w:t>
      </w:r>
      <w:r>
        <w:rPr>
          <w:rFonts w:ascii="Times New Roman" w:cs="Times New Roman" w:eastAsia="Times New Roman" w:hAnsi="Times New Roman"/>
          <w:sz w:val="18"/>
          <w:szCs w:val="18"/>
          <w:color w:val="auto"/>
        </w:rPr>
        <w:t>, of our Annual Report on Form 10-K for discussion on the different collaborations and licensing arrangements.</w:t>
      </w:r>
    </w:p>
    <w:p>
      <w:pPr>
        <w:spacing w:after="0" w:line="12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future collaboration agreements may limit the areas of research and development that we may pursue, either alone or in collaboration with third parties. Much of the potential revenues from these future collaborations may consist of contingent payments, such as payments for achieving certain development milestones and royalties payable on product sales. The milestones and royalty revenues that we may receive under these collaborations will depend upon our collaborators' ability to successfully develop, introduce, market and sell new products. Future collaboration partners may fail to develop or effectively commercialize products, product candidates, or technologies because they, among other things, may:</w:t>
      </w:r>
    </w:p>
    <w:p>
      <w:pPr>
        <w:spacing w:after="0" w:line="156" w:lineRule="exact"/>
        <w:rPr>
          <w:sz w:val="20"/>
          <w:szCs w:val="20"/>
          <w:color w:val="auto"/>
        </w:rPr>
      </w:pPr>
    </w:p>
    <w:p>
      <w:pPr>
        <w:ind w:left="980" w:right="10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focus of their development and commercialization efforts, or may have insufficient resources to effectively develop our product candidates;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980" w:right="920" w:hanging="324"/>
        <w:spacing w:after="0" w:line="26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historically have re-evaluated their development and commercialization priorities following mergers and consolidations, which have been common in recent years. The ability of some of our product candidates to reach their potential could be limited if our future collaborators fail to apply sufficient development or commercialization efforts related to those product candidates;</w:t>
      </w:r>
    </w:p>
    <w:p>
      <w:pPr>
        <w:spacing w:after="0" w:line="139" w:lineRule="exact"/>
        <w:rPr>
          <w:rFonts w:ascii="Times New Roman" w:cs="Times New Roman" w:eastAsia="Times New Roman" w:hAnsi="Times New Roman"/>
          <w:sz w:val="18"/>
          <w:szCs w:val="18"/>
          <w:color w:val="auto"/>
        </w:rPr>
      </w:pPr>
    </w:p>
    <w:p>
      <w:pPr>
        <w:ind w:left="980" w:right="1040" w:hanging="324"/>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not to devote the necessary resources due to internal constraints, such as limited personnel with the requisite scientific expertise, limited cash resources, or in the belief that other internal drug development programs may have a higher likelihood of obtaining marketing approval, or may potentially generate a greater return on investment;</w:t>
      </w:r>
    </w:p>
    <w:p>
      <w:pPr>
        <w:spacing w:after="0" w:line="135" w:lineRule="exact"/>
        <w:rPr>
          <w:rFonts w:ascii="Times New Roman" w:cs="Times New Roman" w:eastAsia="Times New Roman" w:hAnsi="Times New Roman"/>
          <w:sz w:val="18"/>
          <w:szCs w:val="18"/>
          <w:color w:val="auto"/>
        </w:rPr>
      </w:pPr>
    </w:p>
    <w:p>
      <w:pPr>
        <w:ind w:left="980" w:right="104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either alone or with others, drugs that are similar to or competitive with the product candidates that are the subject of their collaboration with us;</w:t>
      </w:r>
    </w:p>
    <w:p>
      <w:pPr>
        <w:spacing w:after="0" w:line="134" w:lineRule="exact"/>
        <w:rPr>
          <w:rFonts w:ascii="Times New Roman" w:cs="Times New Roman" w:eastAsia="Times New Roman" w:hAnsi="Times New Roman"/>
          <w:sz w:val="18"/>
          <w:szCs w:val="18"/>
          <w:color w:val="auto"/>
        </w:rPr>
      </w:pPr>
    </w:p>
    <w:p>
      <w:pPr>
        <w:ind w:left="980" w:right="10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have necessary and sufficient resources to develop the product candidate through clinical development, marketing approval, and commercialization;</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applicable regulatory requirements;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unable to obtain the necessary marketing approvals; or</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terminate their arrangement with us.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collaboration partners fail to develop or fail to effectively commercialize our products for any of these reasons, we may not be able to replace the collaboration partner with another partner to develop and commercialize the product under the terms of the collaboration, if at all. Further, even if we are able to replace the collaboration partner, we may not be able to do so on commercially favorable terms. As a result, the development and commercialization of the affected product or product candidate could be delayed, impaired, or terminated because we may not have sufficient financial resources or capabilities to continue the development and commercialization of the product candidate on our own. Failure of our third-party collaborators to successfully market and commercialize our products or product candidates within and outside the U.S. could materially diminish our revenues and harm our results of operations.</w:t>
      </w:r>
    </w:p>
    <w:p>
      <w:pPr>
        <w:spacing w:after="0" w:line="144"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in the U.S., we or our collaborators may not receive approval to commercialize our product candidates outside of the U.S.</w:t>
      </w:r>
    </w:p>
    <w:p>
      <w:pPr>
        <w:spacing w:after="0" w:line="13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To market any product outside of the U.S., we must establish and comply with numerous and varying regulatory requirements of other regulatory jurisdictions regarding safety and efficacy. Approval procedures vary among jurisdictions and can involve product testing and administrative review periods different from, and longer than, those in the U.S. The time required to obtain approval in other jurisdictions might differ from that required to obtain FDA approval. The regulatory approval process in other jurisdictions may include all of the risks detailed above regarding FDA approval in the U.S., as well as other risks. For example, legislation analogous to Section 505(b)(2) of the FDCA in the U.S., which relates to the ability of an NDA applicant to use published data not developed by such applicant, may not exist in other countries. In territories where data are not freely available, we may not have the ability to commercialize our products without first negotiating with third parties to obtain their permission to refer to their clinical data in our regulatory applications. This process could require the expenditure of significant additional funds and time.</w:t>
      </w:r>
    </w:p>
    <w:p>
      <w:pPr>
        <w:spacing w:after="0" w:line="15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regulatory approval in one jurisdiction does not ensure regulatory approval in another. A failure or delay in obtaining regulatory approval in one jurisdiction may have a negative effect on the regulatory processes in others. Failure to obtain regulatory approval in other jurisdictions, or any delay or setback in obtaining such approvals, could have the same adverse effects as detailed above regarding FDA approval. As described above, such effects include the risks that any of our product candidates may not be approved for all requested indications, which could limit the uses of our product candidates and could have an adverse effect on their commercial potential or could require costly post-marketing studies.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develop and market our product candidates would impair our ability to grow.</w:t>
      </w:r>
    </w:p>
    <w:p>
      <w:pPr>
        <w:spacing w:after="0" w:line="20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intend to develop and market additional product candidates. We may spend substantial resources and several years completing the development of a particular current or future internal product candidate, during which process we can experience failure at any stage, and for many reasons. The product candidates to which we allocate our resources, even if approved, may not be commercially successful. In addition, because our internal research capabilities are limited, we may be dependent upon pharmaceutical companies, academic scientists, and other researchers to sell or license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products or technologies to us. The success of this strategy depends partly upon our ability to identify, select, discover and acquire promising pharmaceutical product candidates and approved products, and to manage our spending as expenses related to undertaking clinical trials can be substantial.</w:t>
      </w:r>
    </w:p>
    <w:p>
      <w:pPr>
        <w:spacing w:after="0" w:line="9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In February 2025, the FDA approved ONAPGO (apomorphine hydrochloride) injection, formerly known as SPN-830, as the first and only subcutaneous apomorphine infusion device for the treatment of motor fluctuations in adults with advanced PD.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acquire product candidates or products.</w:t>
      </w:r>
    </w:p>
    <w:p>
      <w:pPr>
        <w:spacing w:after="0" w:line="20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process of proposing, negotiating, and implementing a license, or acquiring a product candidate or an approved product, is lengthy and complex. Other companies, including some with substantially greater financial, marketing and sales resources, may compete with us for the license, the product candidate, or approved product. We have limited resources, including financial resources, to identify and execute the acquisition or in-licensing of third-party products, businesses, and technologies and integrate them into our current infrastructure. Moreover, we may devote significant resources to potential acquisitions, or in-licensing opportunities wherein those transactions are never consummated, or we may fail to realize the anticipated benefits of such efforts. We may not be able to acquire the rights to additional product candidates on terms that we find acceptable or at all.</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8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to develop acquired products or technologies;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or dilutive issuances of securities, or depletion of cash to pay for acquisitions;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higher than expected acquisition, integration, and operating costs;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difficulty in combining the operations and personnel of any acquired businesses with our operations and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relationships with key suppliers or customers of any acquired businesses due to changes in management and ownership;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retain and/or motivate key employees of any acquired businesses.</w:t>
      </w:r>
    </w:p>
    <w:p>
      <w:pPr>
        <w:spacing w:after="0" w:line="194"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for our product candidates may fail to demonstrate acceptable levels of safety, efficacy, or other requirements, which could prevent or significantly delay regulatory approval.</w:t>
      </w:r>
    </w:p>
    <w:p>
      <w:pPr>
        <w:spacing w:after="0" w:line="11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may be unable to sufficiently demonstrate the safety and efficacy of our product candidates in obtaining regulatory approval. We must demonstrate, with substantial evidence gathered in well-controlled studies and to the satisfaction of the relevant regulatory authorities, that each product candidate is safe and effective for use in the target indication. We may be required to conduct additional studies or trials to adequately demonstrate safety and efficacy, which could prevent or significantly delay our receipt of regulatory approval, increase clinical costs, and ultimately delay or otherwise impair the commercialization of that product candidate.</w:t>
      </w:r>
    </w:p>
    <w:p>
      <w:pPr>
        <w:spacing w:after="0" w:line="14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Any product candidate that we in-license or acquire may require additional development prior to commercial sale, including formulation development, extensive clinical testing, and approval by the FDA or applicable foreign regulatory authorities. All product candidates are prone to risks of failure typical to pharmaceutical product development, including the possibility that a product candidate will not be shown to be sufficiently safe and effective for approval by regulatory authorities.</w:t>
      </w:r>
    </w:p>
    <w:p>
      <w:pPr>
        <w:spacing w:after="0" w:line="15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the results from the trials that we have completed for our product candidates may not be replicated in future trials. A number of companies in the pharmaceutical industry have suffered significant setbacks in advanced development, even after promising results in earlier trials. If our product candidates are not shown to be safe and effective, these clinical development programs might be terminated.</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failures in the completion of clinical development of our product candidates would increase our costs, delay, or limit our ability to generate revenues.</w:t>
      </w:r>
    </w:p>
    <w:p>
      <w:pPr>
        <w:spacing w:after="0" w:line="11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Delays or failures in the completion of clinical trials for our product candidates could significantly raise our product development costs. We do not know whether current or planned trials will be completed on schedule, if at all. The commencement and completion of clinical development can be delayed or halted for a number of reasons, including:</w:t>
      </w:r>
    </w:p>
    <w:p>
      <w:pPr>
        <w:spacing w:after="0" w:line="135" w:lineRule="exact"/>
        <w:rPr>
          <w:sz w:val="20"/>
          <w:szCs w:val="20"/>
          <w:color w:val="auto"/>
        </w:rPr>
      </w:pPr>
    </w:p>
    <w:p>
      <w:pPr>
        <w:ind w:left="660" w:right="5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regulatory approval to commence a clinical trial or in complying with conditions imposed by a regulatory authority regarding the scope or term of a clinical trial;</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IRB or ethics committee approval to conduct a trial at a prospective site;</w:t>
      </w:r>
    </w:p>
    <w:p>
      <w:pPr>
        <w:spacing w:after="0" w:line="18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trial sites and investigators, the contractual terms of which can be subject to extensive negotiation and may vary significantly from site to site;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of or quantity of a product candidate for use in trials;</w:t>
      </w:r>
    </w:p>
    <w:p>
      <w:pPr>
        <w:spacing w:after="0" w:line="19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recruiting and enrolling patients to participate in clinical trials, for any and all reasons, including competition from other programs for the treatment of similar conditions;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patients in a clinical trial;</w:t>
      </w:r>
    </w:p>
    <w:p>
      <w:pPr>
        <w:spacing w:after="0" w:line="18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retaining patients who have enrolled in a clinical trial but who may be prone to withdraw due to side effects from the therapy, lack of efficacy, or personal issues;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cessation of clinical trials (clinical holds);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ambiguous or negative interim results in clinical trials.</w:t>
      </w:r>
    </w:p>
    <w:p>
      <w:pPr>
        <w:spacing w:after="0" w:line="18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Clinical trials may be suspended or terminated by us; or at a trial site by the site's Data Safety Monitoring Board (DSMB) or ethics committee overseeing the clinical trial; or by the FDA; or by other regulatory authorities due to a number of factors, including:</w:t>
      </w:r>
    </w:p>
    <w:p>
      <w:pPr>
        <w:spacing w:after="0" w:line="13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the trial protocols;</w:t>
      </w:r>
    </w:p>
    <w:p>
      <w:pPr>
        <w:spacing w:after="0" w:line="18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Observations during an inspection of the clinical trial operations or trial sites by the FDA or other regulatory authorities which ultimately result in the imposition of a delay or clinical hold;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trial.</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Failure to conduct the clinical trial in accordance with regulatory requirements or the trial protocols may result in the inability to use the trial data to support product approval. Changes in regulatory requirements and guidance may occur, and we may need to amend clinical trial protocols to reflect these changes. Amendments may require us to resubmit our clinical trial protocols to IRBs or ethics committees for reexamination, which may adversely impact the cost, timing, and/or successful completion of a clinical trial.</w:t>
      </w:r>
    </w:p>
    <w:p>
      <w:pPr>
        <w:spacing w:after="0" w:line="13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addition, many of the factors that cause or lead to a delay in the commencement or completion of clinical trials may also ultimately lead to the denial of regulatory approval of our product candidates. If we experience delays in completion, or if we terminate any of our clinical trials, our ability to obtain regulatory approval of our product candidates may be materially harmed, and our commercial prospects and ability to generate product revenues diminished.</w:t>
      </w:r>
    </w:p>
    <w:p>
      <w:pPr>
        <w:spacing w:after="0" w:line="153"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Additionally, the current inflationary environment, unstable economic conditions and geopolitical events may delay our trials or significantly increase our product development costs.</w:t>
      </w:r>
    </w:p>
    <w:p>
      <w:pPr>
        <w:spacing w:after="0" w:line="117"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cause undesirable side effects or have other characteristics that limit their commercial potential, delay, or prevent their regulatory approval.</w:t>
      </w:r>
    </w:p>
    <w:p>
      <w:pPr>
        <w:spacing w:after="0" w:line="11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development. This could result in the denial of regulatory approval by the FDA or other regulatory authorities and result in potential product liability claims. Undesirable side effects caused by any of our products could cause regulatory</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authorities to temporarily or permanently halt product sales, which could have a material adverse effect on our business. As required by the FDA, the labels for our products include precautions and warnings about side effects, and in certain cases, the need for monitoring patients receiving the product.</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If our products cause side effects, and we or others later identify undesirable side effects caused by our products or product candidates, a number of potentially significant negative consequences could result, including, among others:</w:t>
      </w:r>
    </w:p>
    <w:p>
      <w:pPr>
        <w:spacing w:after="0" w:line="121"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product or otherwise require us to take the approved product off the market;</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a narrowing of the indication on the product label; or</w:t>
      </w:r>
    </w:p>
    <w:p>
      <w:pPr>
        <w:spacing w:after="0" w:line="184" w:lineRule="exact"/>
        <w:rPr>
          <w:rFonts w:ascii="Times New Roman" w:cs="Times New Roman" w:eastAsia="Times New Roman" w:hAnsi="Times New Roman"/>
          <w:sz w:val="18"/>
          <w:szCs w:val="18"/>
          <w:color w:val="auto"/>
        </w:rPr>
      </w:pPr>
    </w:p>
    <w:p>
      <w:pPr>
        <w:ind w:left="980" w:right="142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proper use of the medication and the risks of side effects for distribution to patients;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the product in some way;</w:t>
      </w:r>
    </w:p>
    <w:p>
      <w:pPr>
        <w:spacing w:after="0" w:line="198" w:lineRule="exact"/>
        <w:rPr>
          <w:rFonts w:ascii="Times New Roman" w:cs="Times New Roman" w:eastAsia="Times New Roman" w:hAnsi="Times New Roman"/>
          <w:sz w:val="18"/>
          <w:szCs w:val="18"/>
          <w:color w:val="auto"/>
        </w:rPr>
      </w:pPr>
    </w:p>
    <w:p>
      <w:pPr>
        <w:ind w:left="980" w:right="122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costly post-marketing testing and surveillance, to monitor the safety or efficacy of the product;</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approved products may decrease significantly;</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be held liable for harm caused to patients; or</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8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the commercial success of our products and product candidates and could substantially increase commercialization costs.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or maintain the benefits associated with Orphan Drug Designation, including market exclusivity.</w:t>
      </w:r>
    </w:p>
    <w:p>
      <w:pPr>
        <w:spacing w:after="0" w:line="20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Regulatory authorities in the United States may designate drugs for relatively small patient populations as orphan drugs. The FDA may grant Orphan Drug Designation to drugs intended to treat a rare disease or condition that affects fewer than 200,000 individuals annually in the U.S. Orphan Drug Designation entitles a party to financial incentives, such as opportunities for grant funding towards clinical trial costs, tax credits for certain research, and user fee waivers under certain circumstances. In addition, if a drug receives its first FDA approval in an indication for which it has Orphan Drug Designation, that drug is entitled to seven years of market exclusivity. This implies that the FDA may not approve any other firm's application for the same drug for that same indication for a period of seven years. Exceptions are limited, such as showing clinical superiority over the drug with orphan drug exclusivity.</w:t>
      </w:r>
    </w:p>
    <w:p>
      <w:pPr>
        <w:spacing w:after="0" w:line="148"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Although we have been granted FDA Orphan Drug Designation for SPN-817 for the treatment of Dravet Syndrome and Lennox-Gaustaut Syndrome and for ONAPGO for the treatment of motor fluctuations in adults with advanced PD, and we intend to expand our designation for alternative uses where applicable, we may not receive the benefits associated with Orphan Drug Designation. This may result from a failure to maintain orphan drug status, or it may result from a competing product reaching the market with an orphan designation for the same disease indication. Under U.S. rules for orphan drugs, if such a competing product reaches the market before ours does, the competing product could potentially obtain a scope of market exclusivity that limits or precludes our product from being sold in the U.S. for seven years. Even if we obtain exclusivity, the FDA could subsequently approve an alternative drug for the same condition if the FDA concludes that the second to reach the market is clinically superior in that it is safer, more effective, or makes a major contribution to patient care. In addition, a competitor may receive approval of different products for the same indication for which our orphan product has exclusivity or may obtain approval for the same product but for a different indication for which the orphan product has exclusivity.</w:t>
      </w:r>
    </w:p>
    <w:p>
      <w:pPr>
        <w:spacing w:after="0" w:line="15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August 2017, the FDA Reauthorization Act of 2017 (FDARA) was enacted. FDARA, among other things, codified the FDA's pre-existing regulatory interpretation to require that a drug sponsor demonstrate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showing clinical superiority.</w:t>
      </w:r>
    </w:p>
    <w:p>
      <w:pPr>
        <w:spacing w:after="0" w:line="15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FDA may further reevaluate the Orphan Drug Act, including the FDARA amendment, its regulations, and policies. We do not know if, when, or how the FDA may change the orphan drug regulations and policies in the future. It is uncertain how</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any changes might affect our business. Depending on what changes the FDA may make to its orphan drug regulations and policies, our business could be adversely impacted.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products or product candidates.</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U.S. and certain states have shown significant, increased interest in pursuing healthcare reform and changes to the healthcare delivery system. Numerous major markets outside the US, including the EU, Japan, and China, have widespread governmental involvement in healthcare funding, including with regard to pricing and reimbursement of pharmaceuticals. Government-adopted reform measures could adversely impact the pricing of healthcare products and services in the U.S. or internationally, adversely impacting the level of reimbursement available from governmental agencies and/or commercial third-party payors. The continuing efforts of third-party payors, including U.S. federal and state agencies, foreign governments, insurance companies, managed care organizations, employers, and other payors of healthcare services to contain or reduce healthcare costs may adversely affect the Company's ability to set prices at launch, increase prices after launch, generate revenues, achieve profitability, and/or maintain profitability. In addition to healthcare reform initiatives in the U.S. and in other countries, there are (i) new laws, regulations, and judicial or other governmental decisions affecting pricing, drug reimbursement, and access or marketing within or across jurisdictions; (ii) changes in intellectual property laws; (iii) changes in accounting standards; (iv) new and increasing data privacy regulations and enforcement; (v) legislative mandates or preferences for local manufacturing of pharmaceutical products; and (vi) emerging and new global regulatory requirements for reporting payments and other value transfers to healthcare professionals. The costs of compliance with such laws and regulations, or the negative results of non-compliance, could adversely affect the business, cash flow, results of operations, financial condition and prospects of the Company. The Company believes that the healthcare industry will continue to be subject to increasing regulation as well as legal and political action, as future proposals to reform the healthcare system are considered by the U.S. Executive branch, Congress, and state legislatures.</w:t>
      </w:r>
    </w:p>
    <w:p>
      <w:pPr>
        <w:spacing w:after="0" w:line="16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March 2010, a comprehensive change to the U.S. healthcare system, known as the Patient Protection and Affordable Care Act of 2010 (ACA) was enacted, as amended by the Health Care and Education Reconciliation Act of 2010. These laws and their regulations (collectively "HealthCare Reform Law") have far reaching consequences for pharmaceutical companies like the Company. Possible revisions to the HealthCare Reform Law are the subject of continuing legislative debates and litigation.</w:t>
      </w:r>
    </w:p>
    <w:p>
      <w:pPr>
        <w:spacing w:after="0" w:line="13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HealthCare Reform Law exerts downward pressure on pharmaceutical pricing, especially under the Medicare and Medicaid programs, and has increased the industry's regulatory burden and operating costs. Among the provisions of the HealthCare Reform Law of importance to the Company's products and product candidates are the following:</w:t>
      </w:r>
    </w:p>
    <w:p>
      <w:pPr>
        <w:spacing w:after="0" w:line="135" w:lineRule="exact"/>
        <w:rPr>
          <w:sz w:val="20"/>
          <w:szCs w:val="20"/>
          <w:color w:val="auto"/>
        </w:rPr>
      </w:pPr>
    </w:p>
    <w:p>
      <w:pPr>
        <w:ind w:left="660" w:right="2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to the U.S. federal government by any entity that manufactures or imports specified branded prescription drugs or biologic agents. This fee is based on each company's market share of prior year total sales of branded products to certain federal healthcare programs;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84" w:lineRule="exact"/>
        <w:rPr>
          <w:rFonts w:ascii="Times New Roman" w:cs="Times New Roman" w:eastAsia="Times New Roman" w:hAnsi="Times New Roman"/>
          <w:sz w:val="18"/>
          <w:szCs w:val="18"/>
          <w:color w:val="auto"/>
        </w:rPr>
      </w:pPr>
    </w:p>
    <w:p>
      <w:pPr>
        <w:ind w:left="660" w:right="1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Rebates owed by manufacturers under the Medicaid Drug Rebate Program (MDRP) for drugs that are inhaled, infused, instilled, implanted, or injected. During 2020, the Centers for Medicare &amp; Medicaid Services (CMS) issued a Final Rule that makes significant modifications to the Medicaid Drug Rebate Program regulations in several areas, including with respect to the treatment of value-based purchasing arrangements, the definition of key terms, and the price reporting treatment of manufacturer-sponsored patient benefit programs. On May 26, 2023, CMS issued a proposed rule seeking to implement policies in the MDRP related to the new legislative requirements in the Medicaid Services Investment and Accountability Act of 2019 to address, among other things, drug misclassification and drug pricing and product data misreporting by manufacturers</w:t>
      </w:r>
    </w:p>
    <w:p>
      <w:pPr>
        <w:spacing w:after="0" w:line="14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a substantial point-of-sale discount off negotiated prices of applicable brand drugs to eligible beneficiaries during their coverage gap period, as a condition for the manufacturer's outpatient drugs to be covered under Medicare Part D;</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eligibility criteria for Medicaid programs in certain states;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the number of drug samples that manufacturers and distributors provide to physicians; and</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right="2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for, and conduct comparative clinical effectiveness research, and provide funding for such research.</w:t>
      </w:r>
    </w:p>
    <w:p>
      <w:pPr>
        <w:spacing w:after="0" w:line="12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2021 the American Rescue Plan Act (“ARPA”) was signed into law, which includes a provision eliminating the statutory cap on rebates that drug manufacturers pay to Medicaid beginning in January 2024. These rebates function as a discount off the list price and eliminating the cap means that manufacturer discounts paid to Medicaid can increase. Prior to this change, manufacturers had not been required to pay more than 100% of the Average Manufacturer Price (“AMP”) in rebates to state Medicaid programs for Medicaid-covered drugs. As a result of this provision, effective January 1, 2024 manufacturers may have to pay state Medicaid programs more in rebates than they receive on sales of particular products. This change could present a risk to the Company in the future for drugs that have high Medicaid utilization and rebate exposure that is more than 100% of the AMP. As a result of ARPA certain pharmaceutical manufacturers may reconsider pricing strategies and overall business in Medicaid and other federal programs.</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2022 the IRA was enacted, which made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w:t>
      </w:r>
    </w:p>
    <w:p>
      <w:pPr>
        <w:spacing w:after="0" w:line="15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Additional changes to the HealthCare Reform Law include The American Taxpayer Relief Act of 2012, which reduced Medicare payments to several types of providers and increased the statute of limitations period for the government to recover overpayments to providers from three years to five years.</w:t>
      </w:r>
    </w:p>
    <w:p>
      <w:pPr>
        <w:spacing w:after="0" w:line="13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those changes discussed above, in recent years there have also been several Congressional inquiries and proposed bills designed to, among other things, bring more transparency to drug pricing, reduce the cost of prescription drugs under Medicare; review the relationship between pricing and manufacturer patient programs, and reform government programs reimbursement methodologies for drugs.</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Executive orders have changed certain provisions of the HealthCare Reform Law, while other provisions have been subject to court challenges. On June 17, 2021, the U.S. Supreme Court dismissed the most recent judicial challenge to the HealthCare Reform Law, brought by several states, without specifically ruling on the constitutionality of the HealthCare Reform Law. Prior to the U.S. Supreme Court ruling, then President Biden issued an executive order instructing certain governmental agencies to review and reconsider their existing policies and rules that limit access to healthcare, including, among others, re-examining Medicaid demonstration projects and waiver programs that include work requirements, and policies that create barriers to obtaining access to health insurance coverage through Medicaid or the HealthCare Reform Law.</w:t>
      </w:r>
    </w:p>
    <w:p>
      <w:pPr>
        <w:spacing w:after="0" w:line="16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28, 2024, the Supreme Court overruled their landmark 1984 decision in Chevron v. Natural Resources Defense Council, which gave rise to the doctrine known as the Chevron doctrine. The Supreme Court’s ruling sharply reduced the power of federal agencies to interpret the laws they administer and ruled that courts should rely on their own interpretation of ambiguous laws. This ruling could have a significant impact on the health care industry, which is heavily regulated by multiple federal agencies and subject to frequent federal rulemaking regarding such topics as reimbursement, health care operations, patient safety, and patient privacy.</w:t>
      </w:r>
    </w:p>
    <w:p>
      <w:pPr>
        <w:spacing w:after="0" w:line="143"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There was enormous growth and visibility for artificial intelligence (AI) systems and tools in 2023, leading to increased calls for regulation and oversight. On October 30, 2023, the Biden Administration issued an Executive Order on the Safe, Secure, and Trustworthy Development and Use of AI, which addressed the use of AI in health care and the safety and integrity of data stored and generated by AI health care technology systems and directed HHS to establish an AI Task Force that must, within 365 days of its creation, develop policies and specific frameworks addressing the use of AI and AI - enabled technologies in the health sector, including research, drug and device safety, and health care delivery and financing.</w:t>
      </w:r>
    </w:p>
    <w:p>
      <w:pPr>
        <w:spacing w:after="0" w:line="143"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Congress may consider other legislation to repeal or replace elements of the HealthCare Reform Law. It is difficult to predict the extent to which any of these changes to the HealthCare Reform Law, or additional changes if made, may impact the Company's business or any financial condition.</w:t>
      </w:r>
    </w:p>
    <w:p>
      <w:pPr>
        <w:spacing w:after="0" w:line="11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Company's activities, including research, preclinical testing, clinical trials, and the manufacturing and marketing of its products, are subject to extensive regulation by numerous federal, state and local governmental authorities in the U.S., including the FDA, and by foreign regulatory authorities. In the U.S., the FDA administers requirements covering the testing, approval safety, effectiveness, manufacturing, labeling, and marketing of prescription pharmaceuticals and vaccines. In some instances, the FDA requirements have increased the amount of time and resources necessary to develop new products and bring them to market in the U.S. FDA statutes, regulations, and guidance often are revised or reinterpreted by the FDA in ways that may significantly affect the Company's business and products.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FDA Reauthorization Act of 2017 (FDARA) amended the FDCA to revise and extend the user-fee programs for drugs, medical devices, generic drugs, and biosimilar biological products, and for other programs. FDARA reauthorized the various user fees to facilitate the FDA's review and oversight relating to prescription drugs, generic drugs, medical devices, and biosimilars. FDA's authority, including, among others, pediatric study requirements, orphan drug exclusivity, and the approval process for generic drugs.</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FDA also has enhanced its post-marketing authority, including the authority to require post-marketing studies and clinical trials, make labeling changes based on new safety information, or to require compliance with risk evaluation and mitigation strategies. The 2012 Food and Drug Administration Safety and Innovation Act expanded drug supply chain reporting requirements and strengthened the FDA's response to drug shortages. The FDA's exercise of its authority could result in delays or increase costs during product development and regulatory review. It could also result in increased costs to assure compliance with post-approval regulatory requirements and potential restrictions on the sale and/or distribution of any approved product. It is impossible to predict whether additional legislative changes will be enacted or whether FDA regulations, guidance, or interpretations will be changed, and what the impact of such changes, if any, may be. Future regulatory changes could make it more difficult for the Company to maintain or attain approval to develop and commercialize its products and technologies.</w:t>
      </w:r>
    </w:p>
    <w:p>
      <w:pPr>
        <w:spacing w:after="0" w:line="147"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cost containment legislation and the failure of third-party payors to provide appropriate levels of coverage and reimbursement for the use of products and treatments facilitated by our products could harm our business and prospects.</w:t>
      </w:r>
    </w:p>
    <w:p>
      <w:pPr>
        <w:spacing w:after="0" w:line="13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Company's products are dependent on the coverage decisions and reimbursement policies established by government healthcare programs and private health insurers. These policies affect which products customers purchase and the prices customers are willing to pay. Reimbursement varies by country and can significantly impact the acceptance of new products and technologies. Even if the Company develops a promising new product, there may be limited demand for the product unless appropriate reimbursement approval is obtained from private and governmental third-party payors. Additional legislative or administrative reforms to the reimbursement systems in the U.S. and other countries that significantly reduce reimbursement for the Company's products, including price regulation, competitive bidding and tendering, coverage and payment policies, comparative effectiveness of therapies, technology assessments, and managed-care arrangements, could have a material adverse effect on the Company's business, financial condition or results of operations.</w:t>
      </w:r>
    </w:p>
    <w:p>
      <w:pPr>
        <w:spacing w:after="0" w:line="15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Certain U.S. states have become increasingly active in enacting statutes and implementing regulations designed to control pharmaceutical and biological product pricing, including price or patient reimbursement constraints, discounts, and restrictions on access to certain products, which creates additional compliance challenges for the Company. Marketing cost disclosure and transparency measures have been designed to encourage importation from other countries and bulk purchasing. In addition, regional healthcare authorities and individual hospitals increasingly are using bidding procedures to determine what pharmaceutical products and which suppliers will be included in their prescription drug formularies. Legally mandated price controls on payment amounts by third-party payors, or other similar restrictions, could harm the Company's business, results of operations, financial condition, and prospects. These price controls could prevent the Company from being able to commercialize its products or to generate an acceptable return on its investment.</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U.S. healthcare cost containment statutes include:</w:t>
      </w:r>
    </w:p>
    <w:p>
      <w:pPr>
        <w:spacing w:after="0" w:line="198" w:lineRule="exact"/>
        <w:rPr>
          <w:sz w:val="20"/>
          <w:szCs w:val="20"/>
          <w:color w:val="auto"/>
        </w:rPr>
      </w:pPr>
    </w:p>
    <w:p>
      <w:pPr>
        <w:ind w:left="660" w:right="20" w:hanging="328"/>
        <w:spacing w:after="0" w:line="25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Drug Quality and Security Act (DQSA), which creates the requirement for companies to trace, verify and identify all products through the entire supply chain, from manufacturer to dispenser. Title I of the DQSA, the Compounding Quality Act, increased regulation of compounding drugs. Title II of DQSA, the Drug Supply Chain Security Act (DSCSA) established requirements to facilitate improved tracking of prescription drug products through the supply chain with increased product identification requirements. DSCSA requires such tracking to be done farther down the distribution chain, including (i) wholesalers' verification and tracking, (ii) pharmacy verification and tracking, and (iii) at the unit level throughout the entire supply chain. In August 2023, FDA announced final guidance pertaining to Title II, entitled “Enhanced Drug Distribution Security Requirements Under Section 582(g)(1) of the Federal Food, Drug, and Cosmetic Act--Compliance Policies.” This guidance describes FDA’s compliance policies for enforcement of requirements for the interoperable, electronic, package level product tracing (enhanced drug distribution security requirements) under the Federal Food, Drug, and Cosmetic Act (FDCA), effective November 27, 2023. Specifically, the guidance described that, until November 27, 2024, the FDA did not intend to take action to enforce requirements for the interoperable, electronic, package level product tracing under section 582(g)(1) of the FDCA Act that went into effect on November 27, 2023. The FDA issued an additional guidance document in October 2024 noting that companies in the pharmaceutical distribution supply chain who have initiated their systems and processes and established electronic DSCSA data connections with their trading partners may need additional time beyond November 27, 2024 to strengthen capabilities to mitigate data issues associated with electronic DSCSA transaction information and transaction statements to ensure uninterrupted product distribution. The October 2024 guidance specifies that the FDA is responding to such</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need by issuing exemptions to accommodate the additional time needed by such trading partners beyond November 27, 2024, but such exemptions apply only to trading partners who have initiated their systems and processes and established electronic DSCSA data connections with their trading partners prior to November 27, 2024. The guidance also provides that such exemptions will extend beyond November 27, 2024, for different lengths of time depending on the category of the trading partner (i.e., manufacturers and repackagers, wholesale distributors, dispensers with 26 or more full time employees). As of January 31, 2025, the Trump Administration has not made any updates to, or rescinded, the October 2024 guidance document.</w:t>
      </w:r>
    </w:p>
    <w:p>
      <w:pPr>
        <w:spacing w:after="0" w:line="147" w:lineRule="exact"/>
        <w:rPr>
          <w:sz w:val="20"/>
          <w:szCs w:val="20"/>
          <w:color w:val="auto"/>
        </w:rPr>
      </w:pPr>
    </w:p>
    <w:p>
      <w:pPr>
        <w:ind w:left="660" w:hanging="328"/>
        <w:spacing w:after="0" w:line="267"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2016, the 21st Century Cures Act (Cures Act) was enacted and authorized increased funding for the FDA to spend on innovation projects, amended the Public Health Service Act (PHSA) to reauthorize and expand funding for the National Institutes of Health (NIH), established the NIH Innovation Fund to pay for the cost of development and implementation of a strategic plan, early stage investigations, and research; and charged the NIH with leading and coordinating expanded pediatric research. The Cures Act also directed the Centers for Disease Control and Prevention to expand surveillance of neurological diseases. There often are delays between the enactment of laws and the effective date of regulations for the enforcement of laws, and this was the case for the Cures Act. Although enacted in 2016, the Department of Health and Human Services (HHS), Office of Inspector General (OIG) did not publish a final rule amending the civil money penalty (CMP) regulations of HHS OIG until July 3, 2023. This final rule implements three statutory provisions: (1) the amendment of the PHSA by the Cures Act authorizing OIG to investigate claims of information blocking; (2) the amendment of the Civil Monetary Penalties Law (CMPL), authorizing HHS to impose CMPs, assessments, and exclusions upon individual and entities that engage in fraud and other misconduct related to HHS grants, contracts, and other agreements; and</w:t>
      </w:r>
    </w:p>
    <w:p>
      <w:pPr>
        <w:spacing w:after="0" w:line="3"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the increase in penalty amounts in the CMPL effected by the Bipartisan Budget Act of 2018.</w:t>
      </w:r>
    </w:p>
    <w:p>
      <w:pPr>
        <w:spacing w:after="0" w:line="166" w:lineRule="exact"/>
        <w:rPr>
          <w:rFonts w:ascii="Times New Roman" w:cs="Times New Roman" w:eastAsia="Times New Roman" w:hAnsi="Times New Roman"/>
          <w:sz w:val="17"/>
          <w:szCs w:val="17"/>
          <w:color w:val="auto"/>
        </w:rPr>
      </w:pPr>
    </w:p>
    <w:p>
      <w:pPr>
        <w:ind w:left="660" w:hanging="328"/>
        <w:spacing w:after="0" w:line="25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includes measures intended to lower the cost of prescription drugs and related healthcare reforms, such as limits on price increases and subjecting an escalating number of drugs to annual price negotiations with CMS. Specifically, the IRA authorizes and directs HHS to set drug price caps for certain high-cost Medicare Part B and Part D qualified drugs, with the initial list of drugs announced on August 29, 2023. The negotiated maximum fair prices for such drugs was announced on August 14, 2024, with the first year of maximum price applicability to begin in calendar year 2026. There are currently ten drugs subject to government pricing under the IRA. The IRA also authorizes HHS to penalize pharmaceutical manufacturers that increase the price of certain Medicare Part B and Part D drugs faster than the rate of inflation and creates significant changes to the Medicare Part D benefit design by capping Part D beneficiaries’ annual out-of-pocket spending. On November 17, 2023, CMS released final program guidance to pharmaceutical manufacturers and Part D plan sponsors for implementing the Medicare Part D Manufacturer Discount Program. HHS and CMS are continuing to announce drugs for price negotiation, produce draft guidance, and finalize regulations in an effort to implement to IRA. Beginning in 2025, all Medicare prescription drug plans (Medicare Part D plans) — including both standalone Medicare prescription drug plans and Medicare Advantage plans with prescription drug coverage — will be required to offer enrollees the option to pay out-of-pocket prescription drug costs in the form of capped monthly installment payments instead of all at once at the pharmacy. The Company cannot predict whether additional legislation or rulemaking related to the IRA will be issued or enacted, or what impact, if any, such changes will have on the profitability of any of the Company's products. There also may be future changes unrelated to the IRA that result in reductions in potential coverage and reimbursement levels for the Company's products, and we cannot predict the scope of any future changes or the impact that those changes may have on its business.</w:t>
      </w:r>
    </w:p>
    <w:p>
      <w:pPr>
        <w:spacing w:after="0" w:line="168"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Future healthcare reform measures may result in more rigorous coverage criteria and lower reimbursement, and additional downward pressure on the price that the Company receives for any approved product. Any reduction in reimbursement from Medicare or other government-funded programs may result in a similar reduction in payments from private payors. The implementation of cost containment measures or other healthcare reforms could result in reduced demand for the Company's product candidates or additional pricing pressures and may prevent the Company from being able to generate revenue, attain profitability or commercialize its drugs.</w:t>
      </w:r>
    </w:p>
    <w:p>
      <w:pPr>
        <w:spacing w:after="0" w:line="14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Future healthcare reforms in the U.S. and in other countries could limit the prices that can be charged for the Company's products and product candidates or may otherwise limit its commercial opportunities. The Company cannot predict what additional future changes in the healthcare industry in general, or the pharmaceutical industry in particular, will occur; however, any changes could have a material adverse effect on the Company’s business, cash flow, results of operations, financial condition, and prospects.</w:t>
      </w:r>
    </w:p>
    <w:p>
      <w:pPr>
        <w:spacing w:after="0" w:line="135"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healthcare regulations, including implementation of any change in compliance with healthcare regulations and laws could cause us to incur significant compliance expenses and any failure to comply could subject us to substantial penalties and fines. Our business,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 supplier of pharmaceuticals, certain U.S. federal and state healthcare laws and regulations pertaining to patients' rights to privacy, fraud and abuse protection, and others, are and will continue to be applicable to our business. We could be subject to allegations of healthcare fraud and abuse, patient privacy violations, as well as other violations of healthcare regulations by both the federal government and the states in which we conduct our business. Regulations to which we are subject include the HealthCare Reform Law and others discussed below.</w:t>
      </w:r>
    </w:p>
    <w:p>
      <w:pPr>
        <w:spacing w:after="0" w:line="13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assessment of the financial impact of the HealthCare Reform Law on the Company's business is on-going. There can be no assurance that the Company's business will not be materially harmed by future compliance with or changes to the HealthCare Reform Law.</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HealthCare Reform Law includes various provisions designed to strengthen fraud and abuse enforcement. These include increased funding for enforcement efforts and lowering the intent requirement of the federal anti-kickback statute and criminal healthcare fraud statute, such that a person or entity no longer needs to have actual knowledge or specific intent to violate the statute.</w:t>
      </w:r>
    </w:p>
    <w:p>
      <w:pPr>
        <w:spacing w:after="0" w:line="14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If the Company's past or present operations are found to be in violation of any such laws or any other governmental regulations that may apply it, then the Company may be subject to penalties, both civil and criminal, damages, fines, exclusion from federal healthcare programs, and/or the curtailment or restructuring of its operations.</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could receive adverse publicity as a result of any such failure to comply with HealthCare Reform Law. Certain provisions of the HealthCare Law have not been fully interpreted by the regulatory authorities or the courts and certain provisions are subject to a variety of interpretations, which may complicate the Company's compliance with the HealthCare Laws. Any action against the Company for violation of the HealthCare Laws, even if successfully defended, could cause the Company to incur significant legal expenses and divert management's attention from the operation of its business.</w:t>
      </w:r>
    </w:p>
    <w:p>
      <w:pPr>
        <w:spacing w:after="0" w:line="14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Company could be subject to allegations of healthcare fraud and abuse, as well as other violations of healthcare regulations by both the federal government and the states in which the Company conducts its business. Regulations include, but are not limited to:</w:t>
      </w:r>
    </w:p>
    <w:p>
      <w:pPr>
        <w:spacing w:after="0" w:line="135" w:lineRule="exact"/>
        <w:rPr>
          <w:sz w:val="20"/>
          <w:szCs w:val="20"/>
          <w:color w:val="auto"/>
        </w:rPr>
      </w:pPr>
    </w:p>
    <w:p>
      <w:pPr>
        <w:ind w:left="660" w:right="20" w:hanging="328"/>
        <w:spacing w:after="0" w:line="25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Statute (AKS), which prohibits, among other things, persons from knowingly and willfully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A person or entity does not need to have actual knowledge or specific intent to violate the federal AKS to have committed a violation. Further, the government may assert that a claim, including items and services resulting from a violation of the federal AKS, constitutes a false or fraudulent claim for purposes of the federal False Claims Act, as discussed below. On December 2, 2020, additional AKS regulations were finalized and took effect in January 2021, which modified existing AKS safe harbors, created new AKS safe harbors, and created a new CMP law exception. Safe harbors protect certain arrangements from prosecution if each of the elements of the safe harbor is satisfied;</w:t>
      </w:r>
    </w:p>
    <w:p>
      <w:pPr>
        <w:spacing w:after="0" w:line="15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HHS OIG Special Fraud Alert published on November 16, 2020, which addresses the manufacturer Speaker Programs, and signals both a narrower government view of AKS compliance with respect to such programs as well as the potential for increased enforcement in the space by government oversight agencies such as OIG and the Department of Justice;</w:t>
      </w:r>
    </w:p>
    <w:p>
      <w:pPr>
        <w:spacing w:after="0" w:line="135" w:lineRule="exact"/>
        <w:rPr>
          <w:rFonts w:ascii="Times New Roman" w:cs="Times New Roman" w:eastAsia="Times New Roman" w:hAnsi="Times New Roman"/>
          <w:sz w:val="18"/>
          <w:szCs w:val="18"/>
          <w:color w:val="auto"/>
        </w:rPr>
      </w:pPr>
    </w:p>
    <w:p>
      <w:pPr>
        <w:ind w:left="660" w:right="44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knowingly making a false statement material to an obligation to pay or transmit money to the federal government; or knowingly concealing or improperly avoiding or decreasing an obligation to pay money to the federal government;</w:t>
      </w:r>
    </w:p>
    <w:p>
      <w:pPr>
        <w:spacing w:after="0" w:line="15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physician payment transparency requirements under the ACA, commonly referred to as the Physician Payments Sunshine Act, which requires manufacturers of drugs, devices, biologics, and medical supplies to report to HHS information related to physician payments, and to report other transfers of value, physician ownership, and investment interests;</w:t>
      </w:r>
    </w:p>
    <w:p>
      <w:pPr>
        <w:spacing w:after="0" w:line="13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the Company to calculate and report complex pricing metrics to government programs, where such reported prices may be used in the calculation of reimbursement and/or discounts on the Company's commercial products;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right="2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among other things, strictly regulates drug product marketing, prohibits manufacturers from marketing drug products for off-label use, and regulates the distribution of drug samples;</w:t>
      </w:r>
    </w:p>
    <w:p>
      <w:pPr>
        <w:spacing w:after="0" w:line="121"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state anti-kickback laws, physician payment, and drug pricing transparency laws, and false claims laws, which may apply to the Company's business practices, including, but not limited to: (i) research, distribution, sales and marketing arrangements; (ii) claims for items or services reimbursed by any third-party payor, including commercial insurers; (iii) state laws that require pharmaceutical companies to comply with the pharmaceutical industry's voluntary compliance guidelines, and the applicable compliance guidance promulgated by the federal government; and (iv) state laws that otherwise restrict payments that may be made to healthcare providers. Many of these state laws differ from one another in significant ways and often are not preempted by federal laws, thus complicating compliance efforts;</w:t>
      </w:r>
    </w:p>
    <w:p>
      <w:pPr>
        <w:spacing w:after="0" w:line="148" w:lineRule="exact"/>
        <w:rPr>
          <w:rFonts w:ascii="Times New Roman" w:cs="Times New Roman" w:eastAsia="Times New Roman" w:hAnsi="Times New Roman"/>
          <w:sz w:val="18"/>
          <w:szCs w:val="18"/>
          <w:color w:val="auto"/>
        </w:rPr>
      </w:pPr>
    </w:p>
    <w:p>
      <w:pPr>
        <w:jc w:val="both"/>
        <w:ind w:left="660" w:right="180" w:hanging="328"/>
        <w:spacing w:after="0" w:line="289"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state laws require pharmaceutical companies to comply with voluntary compliance guidelines promulgated by a pharmaceutical industry association and relevant compliance guidance issued by HHS OIG, bar drug manufacturers from offering or providing certain types of payments or gifts to physicians and other healthcare providers, and/or require disclosure of gifts or payments to physicians and other healthcare providers;</w:t>
      </w:r>
    </w:p>
    <w:p>
      <w:pPr>
        <w:spacing w:after="0" w:line="130" w:lineRule="exact"/>
        <w:rPr>
          <w:rFonts w:ascii="Times New Roman" w:cs="Times New Roman" w:eastAsia="Times New Roman" w:hAnsi="Times New Roman"/>
          <w:sz w:val="17"/>
          <w:szCs w:val="17"/>
          <w:color w:val="auto"/>
        </w:rPr>
      </w:pPr>
    </w:p>
    <w:p>
      <w:pPr>
        <w:ind w:left="660" w:right="20" w:hanging="328"/>
        <w:spacing w:after="0" w:line="25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rebate programs must comply with the Medicaid rebate requirements of the Omnibus Budget Reconciliation Act of 1990, as amended, and the Veterans Health Care Act of 1992, as amended (VHCA). If the Company's products are made available to authorized users of the Federal Supply Schedule of the General Services Administration, additional laws and requirements apply. Under the VHCA, drug companies are required to offer certain pharmaceutical products at a reduced price to several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 and</w:t>
      </w:r>
    </w:p>
    <w:p>
      <w:pPr>
        <w:spacing w:after="0" w:line="14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healthcare laws in the European Union and other jurisdictions, including reporting requirements detailing interactions with and payments to healthcare providers.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a supplier of pharmaceuticals, certain U.S. federal and state healthcare laws and regulations pertaining to patients’ rights to privacy apply to the Company’s business. The Company could be subject to allegations of patient privacy violations by both the federal government and the states in which the Company’s conducts its business. Regulations include, but are not limited to:</w:t>
      </w:r>
    </w:p>
    <w:p>
      <w:pPr>
        <w:spacing w:after="0" w:line="149" w:lineRule="exact"/>
        <w:rPr>
          <w:sz w:val="20"/>
          <w:szCs w:val="20"/>
          <w:color w:val="auto"/>
        </w:rPr>
      </w:pPr>
    </w:p>
    <w:p>
      <w:pPr>
        <w:ind w:left="660" w:right="30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prohibits a scheme to defraud any healthcare benefit program or making false statements relating to healthcare matters. Similar to the federal AKS, a person or entity does not need to have actual knowledge or specific intent to violate HIPAA in order to have committed a violation. On December 10, 2020, HHS released proposed modifications to the HIPAA Privacy Rule, which, if adopted, would change rules related to patient access to HIPAA protected records, among others. In 2021 OCR sought feedback on the proposed HIPAA changes. Publication of the Final Rule has not yet occurred;</w:t>
      </w:r>
    </w:p>
    <w:p>
      <w:pPr>
        <w:spacing w:after="0" w:line="142"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26, 2024, HHS modified certain provisions of the HIPAA Privacy Rule to prohibit the use or disclosure of protected health information by a covered health care provider, health plan, or health care clearing house, or their business associate, to: (i) conduct a criminal, civil, or administrative investigation into or impose criminal, civil, or administrative liability on any person for the mere act of seeking, obtaining, providing, or facilitating reproductive health care, where such health care is lawful under the circumstances in which it is provided; or (ii) identify any person for the purpose of conducting such investigation or imposing such liability;</w:t>
      </w:r>
    </w:p>
    <w:p>
      <w:pPr>
        <w:spacing w:after="0" w:line="142" w:lineRule="exact"/>
        <w:rPr>
          <w:rFonts w:ascii="Times New Roman" w:cs="Times New Roman" w:eastAsia="Times New Roman" w:hAnsi="Times New Roman"/>
          <w:sz w:val="18"/>
          <w:szCs w:val="18"/>
          <w:color w:val="auto"/>
        </w:rPr>
      </w:pPr>
    </w:p>
    <w:p>
      <w:pPr>
        <w:ind w:left="660" w:right="100" w:hanging="328"/>
        <w:spacing w:after="0" w:line="312"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of 2009 (commonly referred to as the HITECH Act), which imposes certain requirements relating to the privacy, security, and transmission of individually identifiable health information; and</w:t>
      </w:r>
    </w:p>
    <w:p>
      <w:pPr>
        <w:spacing w:after="0" w:line="112" w:lineRule="exact"/>
        <w:rPr>
          <w:rFonts w:ascii="Times New Roman" w:cs="Times New Roman" w:eastAsia="Times New Roman" w:hAnsi="Times New Roman"/>
          <w:sz w:val="17"/>
          <w:szCs w:val="17"/>
          <w:color w:val="auto"/>
        </w:rPr>
      </w:pPr>
    </w:p>
    <w:p>
      <w:pPr>
        <w:ind w:left="660" w:right="30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state and foreign laws also govern the privacy and security of health information in some circumstances, and many of these laws differ from each other in significant ways and often are not preempted by HIPAA.</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Efforts to ensure that the Company's business arrangements will comply with applicable healthcare laws and regulations could be costly. If the Company's operations are found to be in violation of any of the laws described above or in violation of any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governmental regulations that apply to us, then it may be subject to penalties, including civil and criminal penalties, damages, fines, and the curtailment, or restructuring of its operations. Any penalties, damages, fines, curtailment or restructuring of the Company's operations could adversely affect its ability to operate its business and could impair its financial results.</w:t>
      </w:r>
    </w:p>
    <w:p>
      <w:pPr>
        <w:spacing w:after="0" w:line="13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Although compliance efforts can mitigate the risk of investigation and prosecution for violations of these laws, the risks cannot be entirely eliminated. The risk of violating a law can increase when governmental interpretations and rule-making necessitate operating changes. Any action against the Company for violation of these laws, even if successfully defended, could cause the Company to incur significant legal expenses and divert management's attention from the operation of its business. Moreover, achieving and sustaining compliance with applicable federal and state privacy, security, and fraud laws may prove costly.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Guidelines and recommendations published by various organizations can reduce the use of our products and product candidates.</w:t>
      </w:r>
    </w:p>
    <w:p>
      <w:pPr>
        <w:spacing w:after="0" w:line="202"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18"/>
          <w:szCs w:val="18"/>
          <w:color w:val="auto"/>
        </w:rPr>
        <w:t>Government agencies promulgate regulations and guidelines directly applicable to us and to our products and product candidates that could affect the use of our products. In addition, professional societies, practice management groups, private health and science foundations, and organizations involved in various diseases from time to time may also publish guidelines or recommendations to the health care provider and patient communities.</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Recommendations from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which are subsequently followed by patients and health care providers, could result in decreased use of our products.</w:t>
      </w:r>
    </w:p>
    <w:p>
      <w:pPr>
        <w:spacing w:after="0" w:line="141"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involved in additional lawsuits to protect or enforce our patents, which could be expensive, time consuming, distracting, and ultimately unsuccessful.</w:t>
      </w:r>
    </w:p>
    <w:p>
      <w:pPr>
        <w:spacing w:after="0" w:line="11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Competitors may infringe our patents. To counter infringement or unauthorized use, in the past we have been, and in the future we may again be, required to file infringement claims, which can be expensive and time consuming. For example, we are involved in several matters related to Paragraph IV Certification Notice Letters that we received in connection with our products and our collaborators' products. In connection with an ANDA, a Paragraph IV Certification Notice Letter notifies the FDA that one or more patents listed in the FDA's Orange Book is alleged to be invalid, unenforceable, or will not be infringed by the competitive ANDA product.</w:t>
      </w:r>
    </w:p>
    <w:p>
      <w:pPr>
        <w:spacing w:after="0" w:line="156"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For example, we have received Paragraph IV Notice Letters from generic drug makers directed to the Orange Book patents of several of our products. We have filed lawsuits against the generic drug makers and intend to vigorously enforce our intellectual property rights relating to our products.</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more information, refer to </w:t>
      </w:r>
      <w:r>
        <w:rPr>
          <w:rFonts w:ascii="Times New Roman" w:cs="Times New Roman" w:eastAsia="Times New Roman" w:hAnsi="Times New Roman"/>
          <w:sz w:val="18"/>
          <w:szCs w:val="18"/>
          <w:i w:val="1"/>
          <w:iCs w:val="1"/>
          <w:color w:val="auto"/>
        </w:rPr>
        <w:t>Part I, Item 3—Legal Proceedings</w:t>
      </w:r>
      <w:r>
        <w:rPr>
          <w:rFonts w:ascii="Times New Roman" w:cs="Times New Roman" w:eastAsia="Times New Roman" w:hAnsi="Times New Roman"/>
          <w:sz w:val="18"/>
          <w:szCs w:val="18"/>
          <w:color w:val="auto"/>
        </w:rPr>
        <w:t xml:space="preserve"> contained in this Annual Report Form 10-K.</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any infringement proceeding, a court may decide that a patent of ours is not valid or enforceable, or the court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 at risk of not issuing.</w:t>
      </w:r>
    </w:p>
    <w:p>
      <w:pPr>
        <w:spacing w:after="0" w:line="15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Interference proceedings brought by the USPTO may be necessary to determine the priority of inventions with respect to our patents and patent applications or the patents of our collaborators. An unfavorable outcome could require us to cease using the technology or to attempt to license rights to it from the prevailing party. Our business could be harmed if a prevailing party does not offer us a license on terms that are acceptable to us or offer terms at all. Litigation or interference proceedings may fail. Even if successful, litigation may result in substantial costs and distract our management and other employees. We may not be able to prevent, alone or with our collaborators, misappropriation of our proprietary rights, particularly in countries where the laws may not protect those rights as fully as they are protected in the U.S.</w:t>
      </w:r>
    </w:p>
    <w:p>
      <w:pPr>
        <w:spacing w:after="0" w:line="14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If securities analysts or investors perceive these results to be negative or perceive that the presence or continuation of these cases creates a level of uncertainty regarding our ability to increase or sustain product sales, it could have a substantial adverse effect on the price of our common stock.</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our product candidates will not be subject to the same risks.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our patent rights relating to our products and product candidates may limit our ability to prevent third parties from competing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 us.</w:t>
      </w:r>
    </w:p>
    <w:p>
      <w:pPr>
        <w:spacing w:after="0" w:line="16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To a significant degree, our success will depend on our ability to obtain and maintain patent protection for: our proprietary technologies; for both our products and product candidates; to preserve our trade secrets; to prevent third parties from infringing upon our proprietary rights; and to operate without infringing upon the proprietary rights of others. To that end, we seek patent protection in the U.S. and internationally for our products and product candidates. Our policy is to actively seek to protect our proprietary positions by, among other things, filing patent applications in the U.S. and abroad (including Europe, Canada, and certain other countries when appropriate) relating to proprietary technologies that are important to the development of our business.</w:t>
      </w:r>
    </w:p>
    <w:p>
      <w:pPr>
        <w:spacing w:after="0" w:line="14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strength of patents in the pharmaceutical industry involves complex legal and scientific questions and can have uncertain results. Patent applications in the U.S. and most other countries are confidential for a period of time until they are published. Publication of discoveries in scientific or patent literature typically lags actual discoveries by several months or more. As a result, we cannot be certain that we were the first to conceive inventions covered by our patents and pending patent applications or that we were the first to file patent applications for such inventions. In addition, we cannot be certain that our patent applications will be granted; that any issued patents will adequately protect our intellectual property; or that such patents will not be challenged, narrowed, invalidated, or circumvented.</w:t>
      </w:r>
    </w:p>
    <w:p>
      <w:pPr>
        <w:spacing w:after="0" w:line="16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with our collaborators, and with our consultants. We also have agreements with our employees and selected consultants that obligate them to assign their inventions to us.</w:t>
      </w:r>
    </w:p>
    <w:p>
      <w:pPr>
        <w:spacing w:after="0" w:line="13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It is possible that technology relevant to our business will be independently developed by a person that is not a party to such an agreement. Furthermore, if the employees and consultants that are parties to these agreements breach or violate the terms of these agreements, we may not have adequate remedies. We could lose our trade secrets through such breaches or violations. Further, our trade secrets could otherwise become known or could be independently discovered by our competitors. Any failure to adequately prevent disclosure of our trade secrets and other proprietary information could have a material, adverse impact on our business.</w:t>
      </w:r>
    </w:p>
    <w:p>
      <w:pPr>
        <w:spacing w:after="0" w:line="14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addition, the laws of certain foreign countries do not protect proprietary rights to the same extent or in the same manner as the U.S. Therefore, we may encounter problems in protecting and defending our intellectual property in certain foreign jurisdictions.</w:t>
      </w:r>
    </w:p>
    <w:p>
      <w:pPr>
        <w:spacing w:after="0" w:line="131"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the intellectual property rights of third parties, it could be costly and time consuming to defend such a suit. An unfavorable outcome in such litigation could have a material adverse effect on our business.</w:t>
      </w:r>
    </w:p>
    <w:p>
      <w:pPr>
        <w:spacing w:after="0" w:line="11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approved products and our product candidates and to use our proprietary technologies without infringing the proprietary rights of third parties.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numerous U.S. and foreign issued patents and pending patent applications owned by third parties, exist in the fields in which we and our collaborators are developing product candidates. As the pharmaceutical industry expands and more patents are issued, the risk increases that our collaborators' approved products, or our product candidates, may give rise to claims of infringement of the patent rights of others. There may be issued patents of third parties that we are currently unaware of and that may be infringed by our products or our collaborators' approved products. These patents could prevent us from being able to maximize revenue generated by our products or our product candidates. Because patent applications can take many years to issue, there may be pending patent applications, which may later result in issued patents. Our collaborators' approved products, our products, or our product candidates may infringe those issued patents.</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may be exposed to or threatened with future litigation by third parties alleging that our collaborators' approved products, our products, or product candidates infringe their intellectual property rights. If one of our collaborators' approved products, our products, or our product candidates is found to infringe the intellectual property rights of a third party, we or our collaborators could be enjoined by a court and required to pay damages. In such an event, we could be prevented from commercializing the applicable approved products or product candidates unless we obtain a license to the patent. A license may not be available to us on acceptable terms, if at all. In addition, during litigation, the patent holder could obtain a preliminary injunction, or other equitable relief, which could prohibit us from making, using, or selling our approved products prior to a trial. Such a trial may not occur for several years.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pharmaceutical industry. If a third party claims that we or our collaborators infringe its intellectual property rights, we may face a number of issues, including, but not limited to:</w:t>
      </w:r>
    </w:p>
    <w:p>
      <w:pPr>
        <w:spacing w:after="0" w:line="121" w:lineRule="exact"/>
        <w:rPr>
          <w:sz w:val="20"/>
          <w:szCs w:val="20"/>
          <w:color w:val="auto"/>
        </w:rPr>
      </w:pPr>
    </w:p>
    <w:p>
      <w:pPr>
        <w:ind w:left="660" w:right="1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which may divert our management's attention from our core business;</w:t>
      </w:r>
    </w:p>
    <w:p>
      <w:pPr>
        <w:spacing w:after="0" w:line="121" w:lineRule="exact"/>
        <w:rPr>
          <w:rFonts w:ascii="Times New Roman" w:cs="Times New Roman" w:eastAsia="Times New Roman" w:hAnsi="Times New Roman"/>
          <w:sz w:val="18"/>
          <w:szCs w:val="18"/>
          <w:color w:val="auto"/>
        </w:rPr>
      </w:pPr>
    </w:p>
    <w:p>
      <w:pPr>
        <w:ind w:left="660" w:right="60" w:hanging="328"/>
        <w:spacing w:after="0" w:line="312"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damages for infringement, which we may have to pay if a court decides that the product at issue infringes on or violates the third party's rights. If the court finds that the infringement was willful, we could be ordered to pay treble damages and pay the patent owner's legal fees;</w:t>
      </w:r>
    </w:p>
    <w:p>
      <w:pPr>
        <w:spacing w:after="0" w:line="112"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rulings prohibiting us from selling our products or product candidates, unless the third party licenses its rights to us, which it is not required to do;</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fees or grant cross-licenses to our intellectual property rights;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the costs and expending the time necessary to defend against such litigation; and</w:t>
      </w:r>
    </w:p>
    <w:p>
      <w:pPr>
        <w:spacing w:after="0" w:line="198"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or product candidates so they do not infringe. This may not be possible or may require substantial monetary expenditures and time.</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face potential litigation and product liability exposures. If successful claims are brought against us, we may incur substantial liabilities.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recent years, the volume and variety of claims and the amount of damages claimed in litigation against the pharmaceutical industry have increased. For example, in recent years we or our subsidiaries have been involved in litigations alleging violation of federal and state false claims acts and antitrust laws. For more information, refer to Part I, Item 3 -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contained in this Annual Report Form 10-K. While we strive to conduct our business in accordance with applicable laws, we nevertheless remain exposed to litigation risk. We could be sued by many different parties, including, for example, consumers, healthcare providers, or others selling or otherwise coming into contact with our products and product candidates. Lawsuits or investigations that we may become involved in could be very expensive. These claims may be highly damaging to our reputation, even if the underlying claims are without merit, thereby adversely affecting our business.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commercial sale of any of our products expose us to the risk of product liability claims. If we cannot successfully defend ourselves against product liability claims, we could incur substantial liabilities. In addition, product liability claims may result in:</w:t>
      </w:r>
    </w:p>
    <w:p>
      <w:pPr>
        <w:spacing w:after="0" w:line="13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 commercial product;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exposure to adverse publicity;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bioequivalence and/or clinical trial participants;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litigation;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commercialize products for which we are obtaining marketing approval.</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product liability insurance coverage for our clinical trials is limited to $30 million per claim and $30 million in the aggregate. Insurance covers bodily injury and property damage arising from our clinical trials, subject to industry-standard terms, conditions, and exclusions. On occasion, large judgments have been awarded in class action lawsuits for drugs that had unanticipated side effects. In the future, the potential inability to obtain sufficient product liability insurance at an acceptable cost,</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at all, to protect against potential product liability claims could prevent or inhibit the development and commercialization of the pharmaceutical products we develop.</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 we continue to increase the size of our organization, we may experience difficulties in managing growth.</w:t>
      </w:r>
    </w:p>
    <w:p>
      <w:pPr>
        <w:spacing w:after="0" w:line="189"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Our personnel, systems and facilities currently in place may not be adequate to support future growth. Our future financial performance and our ability to compete effectively will depend, to a significant degree, on our ability to effectively manage our recent and any future growth. We increased employee headcount from 652 employees in 2023 to 674 employees in 2024. Our need to effectively execute our growth strategy requires that we:</w:t>
      </w:r>
    </w:p>
    <w:p>
      <w:pPr>
        <w:spacing w:after="0" w:line="13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regulatory approvals and clinical trials effectively;</w:t>
      </w:r>
    </w:p>
    <w:p>
      <w:pPr>
        <w:spacing w:after="0" w:line="184"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developmental efforts efficiently while complying with our contractual obligations to licensors, licensees, contractors, collaborators, and other third parties;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grow our pipeline;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strategic business development opportunities;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financial reporting systems and procedures;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sufficient numbers of talented employees with the requisite skills and experience.</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growth could place a strain on our administrative and operational infrastructure and may require our management to divert a disproportionate amount of its attention away from our day-to-day activities. We may not be able to effectively manage the expansion of our operations or to recruit, train, and retain additional qualified personnel, particularly in an inflationary economic environment. This may result in weaknesses in our infrastructure; give rise to operational mistakes; loss of business opportunities; loss of employees; and reduced productivity.</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make improvements to our management information and control systems in an efficient or timely manner and may discover deficiencies in existing systems and controls. In addition, our growth will cause us to comply with an increasing number of regulations and statutory requirements. If our management is unable to effectively manage our expected growth, our expenses may increase more than expected; our ability to generate or increase our revenues could be impaired; and we may not be able to implement our business strategy.</w:t>
      </w:r>
    </w:p>
    <w:p>
      <w:pPr>
        <w:spacing w:after="0" w:line="149"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may adversely impact our financial condition, results of operations, and reputation. Security breaches and other disruptions could compromise our information and expose us to liability which would cause our business and reputation to suffer.</w:t>
      </w:r>
    </w:p>
    <w:p>
      <w:pPr>
        <w:spacing w:after="0" w:line="118"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Our operations involve the use of multiple systems that process, store and transmit sensitive information about our customers, suppliers, employees, financial position, operating results, and strategies. In the ordinary course of our business, we or our vendors collect and store sensitive data in our or their data centers and on our networks, including: intellectual property; proprietary business information; proprietary information of our customers, suppliers, and business partners; and identifiable personal information of our employees and patients in our clinical trials. Hardware, software, or applications we develop or procure from third parties or through open source solutions may contain defects in design or other problems that could unexpectedly compromise information security. Additionally, cyberattacks or security breaches, such as the 2021 ransomware attack, could compromise confidential client information, confidential employee information or other sensitive data, cause a disruption or delay in our operations, harm our reputation, result in improper use of our systems and networks, the manipulation and destruction of data, or the release of defective products and may otherwise expose us to liability, including as a result of the release of third party information improperly obtained from our systems, any of which in turn could negatively impact our business, financial results, reputation and the value of our common shares. We have and continue to implement measures to safeguard our systems and information and mitigate potential risks, but there is no assurance that such actions will be sufficient to prevent cyberattacks, security breaches, or other disruptions that manipulate or improperly use our systems, compromise sensitive information, destroy or corrupt data, or otherwise disrupt our operations. The occurrence of such events, including additional breaches of our security measures or those of our third-party service providers, could negatively impact our reputation and our competitive position and could result in litigation with third parties, regulatory action, loss of business due to disruption of operations, and/or reputational damage, potential liability and increased remediation and protection costs, any of which could have a material adverse effect on our financial condition and results of operations. Any future attacks or other security breaches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could also cause us to incur remediation costs with respect to our information technology systems, as occurred following the 2021 ransomware attack. Additionally, a cyberattack, security breach, or other incident may remain undetected for an extended period of time, potentially escalating the adverse effects of any such incident.</w:t>
      </w:r>
    </w:p>
    <w:p>
      <w:pPr>
        <w:spacing w:after="0" w:line="13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continued occurrence of high-profile data breaches provides evidence of an external environment which is increasingly hostile to information security and to the secure processing, maintenance, and transmission of information critical to our operations and business strategy.</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response to a cyberattack or security breach, as was the case following the 2021 ransomware attack, we may accelerate previously planned information technology investments in ways designed to improve our information security and technology infrastructure. We have incurred costs and expect to continue to incur costs in the future, which may be significant, in connection with efforts designed to enhance our data security and take further steps designed to protect against unauthorized access to, or manipulation of, our systems and data. In response to any future cyberattack or security breach we may further increase our information technology investments.</w:t>
      </w:r>
    </w:p>
    <w:p>
      <w:pPr>
        <w:spacing w:after="0" w:line="1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Despite our security measures, our information technology and infrastructure may be vulnerable to additional attacks breached due to employee error, malfeasance, or other disruptions. It is possible that the security controls we have implemented to safeguard personal data and our networks, train our employees and vendors on data security, and implement security requirements and other practices may not prevent the compromise of our networks or the improper disclosure of data that we or our vendors store and manage. Unauthorized parties may also attempt to gain access to our systems or facilities, or those of third parties with whom we do business, through fraud, trickery, other forms of deceiving our employees, contractors, and vendors. If we, our vendors, or other third parties with whom we do business experience significant data security breaches or fail to detect and appropriately respond to significant data security breaches, we could be exposed to government enforcement actions. Improper disclosure could also harm our reputation, create risks for customers, or subject us to liability under laws that protect personal information. This could adversely affect our business, revenues, and competitive position.</w:t>
      </w:r>
    </w:p>
    <w:p>
      <w:pPr>
        <w:spacing w:after="0" w:line="14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While integrating acquired businesses and operations and upgrading the Company's information technology systems, we may face an elevated cybersecurity risk.</w:t>
      </w:r>
    </w:p>
    <w:p>
      <w:pPr>
        <w:spacing w:after="0" w:line="1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Since 2023, we have cyber insurance in addition to our business insurance coverage, however, prior to that time we self-insured by assuming the full risk of costs related to cybersecurity incidents. Such cyber insurance does not provide coverage for incidents that occurred before 2023. There can be no assurance that our insurance coverage will be sufficient to cover the full impact of a cyberattack or that it can be renewed in the future at favorable terms, or at all.</w:t>
      </w:r>
    </w:p>
    <w:p>
      <w:pPr>
        <w:spacing w:after="0" w:line="149"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attracting and retaining talented employees. Further, managing succession for and retention of key executives is critical to our success. Our failure to do so could have an adverse impact on our future performance.</w:t>
      </w:r>
    </w:p>
    <w:p>
      <w:pPr>
        <w:spacing w:after="0" w:line="11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upon skilled personnel in key parts of our organization, and we invest heavily in recruiting, training, and retaining qualified individuals. The loss of the service of key members of our organization, including senior members of our scientific and management teams, high-quality researchers, development specialists, and skilled personnel, could delay or prevent the achievement of major business objectives. Our future growth will demand talented employees and leaders, yet the market for such talent has become increasingly competitive. In addition, our ability to hire qualified personnel also depends on our flexibility to reward superior performance and to pay competitive compensation. In our industry, during the current inflationary economic environment, compensation levels for qualified personnel and competition among employers to recruit and retain such personnel have and continue to increase.</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attract or motivate qualified management,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and motivate key personnel to accomplish our business objectives, we may experience constraints that may significantly impede the achievement of our objectives.</w:t>
      </w:r>
    </w:p>
    <w:p>
      <w:pPr>
        <w:spacing w:after="0" w:line="15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Effective succession planning is also important to our long-term success. Failure to ensure effective transfer of knowledge and smooth transition involving key employees and members of our management team could hinder our strategic planning and business execution. In addition, our failure to adequately plan for succession of senior management and for other key management roles, or the failure of key employees to successfully transition into new roles, could have a material adverse effect on our business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highly dependent on the development, regulatory, commercial, and financial expertise of our management, particularly Jack A. Khattar, our President and Chief Executive Officer. Mr. Khattar has an employment agreement with us. Other members of the senior management team have executive retention agreements with us, but these agreements do not guarantee the services of these executives will continue to be available to us. If we lose key members of our management team, we may not be able to find suitable replacements in a timely fashion, if at all. We cannot be certain that future management transitions will not disrupt our operations or will not generate concern among employees and those with whom we do business.</w:t>
      </w:r>
    </w:p>
    <w:p>
      <w:pPr>
        <w:spacing w:after="0" w:line="14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competition for personnel, our corporate offices are located in the greater Washington D.C. metropolitan area, an area that is characterized by a high cost of living. As such, we could have difficulty attracting experienced personnel to our Company and may be required to expend significant financial resources in our employee recruitment efforts. As a result, despite significant efforts on our part, we may be unable to attract and retain qualified individuals in sufficient numbers, which could have an adverse effect on our business, financial condition, and results of operations.</w:t>
      </w:r>
    </w:p>
    <w:p>
      <w:pPr>
        <w:spacing w:after="0" w:line="13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must comply with environmental laws and regulations. This can be expensive and restrict how we do business.</w:t>
      </w:r>
    </w:p>
    <w:p>
      <w:pPr>
        <w:spacing w:after="0" w:line="13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activities and the activities conducted by our third-party manufacturers and suppliers involve the controlled storage, use, and disposal of hazardous materials. We and our manufacturers and suppliers are subject to federal, state, city, and local laws and regulations governing the use, manufacture, storage, handling, and disposal of these hazardous materials. Although we believe that the safety procedures we use for handling and disposing of these materials comply with the standards prescribed by applicable laws and regulations, we cannot eliminate the risk of accidental contamination or injury from these materials. In the event of an accident, local, city, state, or federal authorities may curtail the use of these materials and may interrupt our business operations, including our commercialization, research and development efforts. Although we believe that the safety procedures utilized by our third-party manufacturers for handling and disposing of these materials generally comply with the standards prescribed by applicable laws and regulations, we have no direct control over our third-party manufacturers, and therefore cannot guarantee that this is the case. We can eliminate the risk of accidental contamination or that such safety procedures will prevent injury from these materials. In such an event, we may be held liable for any resulting damages. Such liability could exceed our resources.</w:t>
      </w:r>
    </w:p>
    <w:p>
      <w:pPr>
        <w:spacing w:after="0" w:line="154"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maintain biological or hazardous materials insurance coverage. While we have implemented processes and procedures to ensure that the suppliers we use are complying with all applicable regulations, there can be no assurance that such suppliers in all instances will comply with such processes and procedures or otherwise comply with applicable regulations. Noncompliance could result in our marketing and distribution of contaminated, defective, or dangerous products, which could subject us to liabilities. This could result in the imposition by governmental authorities of procedures or penalties that could restrict or eliminate our ability to sell products. Any or all of these effects could adversely affect our business, financial condition, and results of operations.</w:t>
      </w:r>
    </w:p>
    <w:p>
      <w:pPr>
        <w:spacing w:after="0" w:line="143"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agreement with Shire, or its successor, Takeda Pharmaceutical Company Limited, impose restrictive covenants on us, which could limit our ability to operate effectively in the future.</w:t>
      </w:r>
    </w:p>
    <w:p>
      <w:pPr>
        <w:spacing w:after="0" w:line="13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2005, we purchased substantially all of the assets of Shire Laboratories Inc., the predecessor of Supernus Pharmaceuticals. Under the purchase agreement, we agreed to refrain perpetually from engaging in any research, formulation development, analytical testing, manufacture, technology assessment, or oral bioavailability screening that relate to five specific drug compounds (i.e., amphetamine, carbamazepine, guanfacine, lanthanum, and mesalamine), and any derivative thereof. Although these various restrictions and covenants on us do not currently impact our products, product candidates, or business, they could in the future limit or delay our ability to take advantage of business opportunities that may relate to such compounds.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Company’s financial condition and results of operations may be materially and adversely affected by health pandemics.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Any future pandemic may result in workforce limitations and travel restrictions resulting from related government actions taken to contain the spread of the disease, any of which may impact many aspects of our business. If a significant percentage of our workforce is unable to work, including because of illness or travel or government restrictions in connection with the pandemic, our operations may be negatively impacted. During a pandemic, government restrictions and social distancing guidelines may drive an increased reliance on working from home for our employees. For example, during the COVID-19 pandemic, the Company’s sales force was functioning largely utilizing digital engagement tools, tactics, and virtual detailing, which may be less effective than the Company's ordinary course sales and marketing programs. In addition, during a pandemic, patients may not be able to get their prescriptions or visit their physicians, which in turn could adversely impact the prescription volumes of our commercial products. Similarly, investigative sites, subjects in clinical trials, and vendors that include our contract research organizations may be subject to the same workforce limitations and travel restrictions during a pandemic. As a result,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a pandemic, we may experience delays or disruptions in our preclinical studies, clinical studies, and non-clinical experiments due to unforeseen circumstances, including but not limited to, interruption of key clinical trial activities, such as clinical trial site data monitoring, and interruption of clinical trial subject visits and study procedures.</w:t>
      </w:r>
    </w:p>
    <w:p>
      <w:pPr>
        <w:spacing w:after="0" w:line="13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experience other unknown impacts from a pandemic that cannot be predicted. We may also experience delays in receiving supplies of our product candidates from our contract manufacturing organizations due to staffing shortages, production slowdowns, stoppages, or disruptions in delivery systems.</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may also require an increased level of working capital if it experiences extended billing and collection cycles as a result of displaced employees at the Company, payors, revenue cycle management contractors, or otherwise. In addition, any disease outbreak could result in a widespread health crisis that could adversely affect the U.S. economy and financial markets, resulting in an economic downturn that could affect customers' demand for our products and our ability to raise additional capital or obtain financing on favorable terms.</w:t>
      </w:r>
    </w:p>
    <w:p>
      <w:pPr>
        <w:spacing w:after="0" w:line="15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may experience delays in receipt of financial information, which may preclude timely reporting of financial results to investors and to the U.S. Securities and Exchange Commission.</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Accordingly, disruptions to the Company's business as a result of a pandemic could result in a material adverse effect on the Company's business, results of operations, financial condition, and prospects in the near and long terms.</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of the Company's plans will be effective in mitigating the effects of a pandemic on our business operations and consequently the potential material adverse impact on our anticipated revenue, earnings and liquidity.</w:t>
      </w:r>
    </w:p>
    <w:p>
      <w:pPr>
        <w:spacing w:after="0" w:line="131"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terms and conditions of our Corporate Integrity Agreement requires significant resources and management time and, if we fail to comply, we could be subject to penalties or, under certain circumstances, excluded from government healthcare programs, which would materially adversely affect our business.</w:t>
      </w:r>
    </w:p>
    <w:p>
      <w:pPr>
        <w:spacing w:after="0" w:line="13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CIA requiring a number of extensive obligations relating to the establishment and ongoing maintenance of an effective compliance program. Maintaining the broad array of processes, policies and procedures necessary to comply with the CIA will require a significant portion of management's attention and the application of significant resources. The costs associated with implementation of and compliance with the CIA could be substantial and may be greater than we currently anticipate. While we have developed and instituted a corporate compliance program, we cannot guarantee that we, our employees, our consultants or our contractors are or will be in compliance with all potentially applicable U.S. federal regulations and laws and all requirements of the CIA. In the event of a breach of the CIA, we could become liable for payment of certain stipulated monetary penalties or could be excluded from participation in federal health care programs. The costs associated with compliance with the CIA, or any liability or consequences associated with its breach, could have an adverse effect on our business, revenues, earnings and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 and Capital Requirements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expect that any revenue we generate will fluctuate from quarter to quarter and year to year as a result of the revenue generated from approved products, license agreements, development milestones, and collaboration license agreements.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earnings and other operating results will be affected by numerous factors, including:</w:t>
      </w:r>
    </w:p>
    <w:p>
      <w:pPr>
        <w:spacing w:after="0" w:line="198" w:lineRule="exact"/>
        <w:rPr>
          <w:sz w:val="20"/>
          <w:szCs w:val="20"/>
          <w:color w:val="auto"/>
        </w:rPr>
      </w:pPr>
    </w:p>
    <w:p>
      <w:pPr>
        <w:ind w:left="580" w:hanging="248"/>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market acceptance for any approved product candidate, underlying demand for our products, and wholesalers' buying patterns;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development programs;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product development and clinical trial activities through all phases of clinical development;</w:t>
      </w:r>
    </w:p>
    <w:p>
      <w:pPr>
        <w:spacing w:after="0" w:line="198"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5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commercial arrangements, and the timing of payments we may make or receive under these arrangements;</w:t>
      </w:r>
    </w:p>
    <w:p>
      <w:pPr>
        <w:spacing w:after="0" w:line="12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of product candidates in clinical development;</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regulatory approvals, if received, of additional indications for our existing products;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right="60" w:hanging="328"/>
        <w:spacing w:after="0" w:line="282" w:lineRule="auto"/>
        <w:tabs>
          <w:tab w:leader="none" w:pos="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products and our future products that could delay or prevent commercialization, cause an approved drug to be taken off the market, or result in litigation;</w:t>
      </w:r>
    </w:p>
    <w:p>
      <w:pPr>
        <w:spacing w:after="0" w:line="12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in which we may become involved;</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sales and marketing infrastructure;</w:t>
      </w:r>
    </w:p>
    <w:p>
      <w:pPr>
        <w:spacing w:after="0" w:line="19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manufacturers to supply or manufacture our products and product candidates;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new products, or potential generics to our products or to competitive products that may emerge;</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products and product candidates;</w:t>
      </w:r>
    </w:p>
    <w:p>
      <w:pPr>
        <w:spacing w:after="0" w:line="19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 a result of inflation, unstable economic conditions and geopolitical events, including increases in compensation and professional expenses, cost of goods sold, and research and development expenses;</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environment and regulatory changes;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of our investment portfolio, borrowings and interest rates.</w:t>
      </w:r>
    </w:p>
    <w:p>
      <w:pPr>
        <w:spacing w:after="0" w:line="19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period should not be relied upon as an indication of our future operating performance. 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 or may expire prior to utilization.</w:t>
      </w:r>
    </w:p>
    <w:p>
      <w:pPr>
        <w:spacing w:after="0" w:line="189"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Our ability to utilize our U.S. federal and state net operating losses is currently limited and may be limited further, under Sections 382 of the Internal Revenue Code. The limitations apply if an ownership change, as defined by Section 382, occurs. Generally, an ownership change occurs when certain shareholders change their aggregate ownership position by more than 50 percentage points over their lowest ownership percentage in a testing period, which is typically three years, or since the last ownership change. Our acquired tax attributes are subject to Section 382 limitations. As of December 31, 2024, we had U.S. federal net operating loss carryforwards of approximately $340.6 million. Future changes in stock ownership may also trigger an additional ownership change and, consequently, another Section 382 limitation.</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 limitation may result in expiration of a portion of the net operating loss or tax credit carryforwards before utilization, which would reduce our gross deferred income tax assets. As a result, if we earn net taxable income, our ability to use our pre-change net operating loss carryforwards and tax credit carryforwards to reduce U.S. federal and state income tax may be subject to limitations, which could potentially result in increased future cash tax liability to us.</w:t>
      </w:r>
    </w:p>
    <w:p>
      <w:pPr>
        <w:spacing w:after="0" w:line="13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past, we have identified material weaknesses in our internal controls which might cause stockholders to lose confidence in our financial and other public reporting, particularly if not remediated appropriately and timely, which in turn would harm our business and the trading price of our common stock.</w:t>
      </w:r>
    </w:p>
    <w:p>
      <w:pPr>
        <w:spacing w:after="0" w:line="1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Maintaining effective internal control over financial reporting is necessary for us to produce reliable financial statements. Effective internal control over financial reporting and adequate disclosure controls and procedures are designed to prevent fraud.</w:t>
      </w:r>
    </w:p>
    <w:p>
      <w:pPr>
        <w:spacing w:after="0" w:line="13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failure to implement required new or improved controls, or difficulties encountered in their implementation, could cause us to fail to meet our reporting obligations. Moreover, we are required to maintain effective disclosure controls and procedures in order to provide reasonable assurance that the information required to be reported in our periodic reports filed with the SEC is recorded, processed, summarized, and reported within the time periods specified by the SEC's rules and forms, and that such information is accumulated and communicated to our management, including our Chief Executive Officer and Chief Financial Officer, as appropriate to allow timely decisions regarding required disclosures.</w:t>
      </w:r>
    </w:p>
    <w:p>
      <w:pPr>
        <w:spacing w:after="0" w:line="14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the past we identified material weaknesses in our internal control over financial reporting. We successfully implemented measures designed to ensure that the control deficiencies contributing to the material weaknesses were remediated. However, if we are unable to maintain effective internal control over financial reporting in the future, our ability to report financial information timely and accurately could be adversely affected. As a result, we could lose investor confidence and</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become subject to litigation or investigations, which could adversely affect our business, operations, financial condition and the trading price of our Common Stock.</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any testing conducted by us in connection with Section 404(a) of the Sarbanes-Oxley Act of 2002 (SOX), or the subsequent testing by our independent registered public accounting firm in connection with Section 404(b) of SOX, may in the future reveal deficiencies in our internal control over financial reporting that are deemed to be material weaknesses. Any system of internal controls, however well designed and operated, is based in part on certain assumptions and can provide only reasonable, not absolute, assurances that the objectives of the system are met. Failure to maintain effective internal control over financial reporting or disclosure controls and procedures or to remediate any material weakness, could result in a material misstatement of our consolidated financial statements that would require a restatement or other materially deficient disclosures. Therefore, investor confidence in the accuracy and timeliness of our financial reports and other disclosures may be adversely impacted, and the market price of our common shares could be negatively impacted.</w:t>
      </w:r>
    </w:p>
    <w:p>
      <w:pPr>
        <w:spacing w:after="0" w:line="15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procedures on a quarterly basis. Our management is required to assess the effectiveness of these controls annually. The annual independent assessment of the effectiveness of our internal controls is very expensive and could detect problems that our management's assessment might not. Undetected material weaknesses in our internal controls could lead to financial statement restatements and require us to incur the expense of remediation.</w:t>
      </w:r>
    </w:p>
    <w:p>
      <w:pPr>
        <w:spacing w:after="0" w:line="15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devote significant resources and time in an effort to comply with the provisions related to internal control over financial reporting of the Sarbanes-Oxley Act of 2002. However, we cannot be certain that these measures will ensure that we design, implement, and maintain adequate control over our financial processes and reporting in the future.</w:t>
      </w:r>
    </w:p>
    <w:p>
      <w:pPr>
        <w:spacing w:after="0" w:line="135"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The integration of acquired businesses may result in our systems and controls becoming increasingly complex and more difficult to manage, regardless of whether such acquired business was previously privately or publicly held. The integration of acquired businesses may also result in material challenges to the Company’s control environment, including: managing a larger, more complex combined business; maintaining employee morale and retaining key management and other employees; unanticipated issues in integrating financial reporting and information technology infrastructure; and harmonizing the companies’ operating practices, internal controls, compliance programs and other policies, procedures, and processes. We may also encounter difficulties in addressing possible differences in business backgrounds, corporate cultures and management philosophies, and maintaining adequate staffing, which could potentially pose challenges in the implementation and operation of controls. We may also identify or fail to identify potential deficiencies in internal controls at the acquired or combined business level.</w:t>
      </w:r>
    </w:p>
    <w:p>
      <w:pPr>
        <w:spacing w:after="0" w:line="151"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Any difficulties in the assimilation of acquired businesses into our internal control framework could harm our operating results or cause us to fail to meet our financial reporting obligations. These risks, among others, could be heightened if we complete a large acquisition or other business venture or multiple transactions within a relatively short period of time.</w:t>
      </w:r>
    </w:p>
    <w:p>
      <w:pPr>
        <w:spacing w:after="0" w:line="14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have expended and anticipate that we will continue to expend significant resources in order to improve the effectiveness of our disclosure controls and procedures and internal control over financial reporting.</w:t>
      </w:r>
    </w:p>
    <w:p>
      <w:pPr>
        <w:spacing w:after="0" w:line="117"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further expand our business through acquisitions of new product lines or businesses, which expose us to various risks, including difficulties in integrating acquisitions. Our recent acquisitions pose certain incremental risks to the Company.</w:t>
      </w:r>
    </w:p>
    <w:p>
      <w:pPr>
        <w:spacing w:after="0" w:line="11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acquisition strategy entails numerous risks. Our continued ability to grow through acquisitions will depend, in part, on the availability of suitable candidates at acceptable prices, terms, and conditions; our ability to compete effectively for acquisition candidates; and the availability of capital and personnel resources to complete such acquisitions and run and integrate the acquired business effectively. We anticipate competition for attractive candidates from other parties, some of whom have substantially greater financial and other resources than we have.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develop or integrate into our operations, and we cannot guarantee that previous or future acquisitions, alliances, joint ventures, investments, or partnerships will, in fact, produce any benefits. Whether or not any particular acquisition is successfully completed, each of these activities is expensive and time consuming and would likely require our management to spend considerable time and effort to complete, which would detract from our management's ability to run our current business. Although we may spend considerable funds and efforts to pursue acquisitions, we may not be able to complete them.</w:t>
      </w:r>
    </w:p>
    <w:p>
      <w:pPr>
        <w:spacing w:after="0" w:line="16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Acquisitions may involve a number of risks, the occurrence of which could adversely affect our business, reputation, financial condition, and operating results, including: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equity securities;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additional debt and contingent liabilities;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of expenses related to intangible assets;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the operations, technologies, services, and products of the acquired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other business activities;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debt and liabilities of the target company including any ongoing lawsuits;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achieve anticipated revenues, profits, benefits, or cost savings;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coordinating, establishing, or expanding sales, distribution and marketing functions, as necessary;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realize the value of the acquired assets relative to the price paid;</w:t>
      </w:r>
    </w:p>
    <w:p>
      <w:pPr>
        <w:spacing w:after="0" w:line="19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additional post-acquisition, undisclosed, contingent, or other liabilities or problems, unanticipated costs associated with an acquisition despite the existence of representations, warranties, and indemnities in any definitive agreement; and an inability to recover or manage such liabilities and costs;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incurring significant restructuring charges and amortization expense;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to assets recorded as a part of an acquisition, including intangible assets and goodwill;</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or distribution partners;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implementing and maintaining sufficient controls, policies, and procedures over the systems, products, and processes of the acquired company and the potential for deficiencies in internal controls at the acquired or combined business;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our leverage and debt service requirements to pay</w:t>
      </w:r>
    </w:p>
    <w:p>
      <w:pPr>
        <w:spacing w:after="0" w:line="27"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acquisition purchase prices or other business venture investment costs, which could, in turn, restrict our ability to access additional capital when needed, result in a decrease in our credit rating, or limit our ability to pursue other important elements of our business strategy;</w:t>
      </w:r>
    </w:p>
    <w:p>
      <w:pPr>
        <w:spacing w:after="0" w:line="141" w:lineRule="exact"/>
        <w:rPr>
          <w:sz w:val="20"/>
          <w:szCs w:val="20"/>
          <w:color w:val="auto"/>
        </w:rPr>
      </w:pPr>
    </w:p>
    <w:p>
      <w:pPr>
        <w:ind w:left="660" w:right="5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acquired businesses or other business ventures to comply with applicable international, federal, and state product safety or other regulatory standards;</w:t>
      </w:r>
    </w:p>
    <w:p>
      <w:pPr>
        <w:spacing w:after="0" w:line="12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as a result of purchase accounting adjustments, incorrect estimates made in the accounting for acquisitions, the incurrence of non-recurring charges, or other potential financial accounting or reporting impacts.</w:t>
      </w:r>
    </w:p>
    <w:p>
      <w:pPr>
        <w:spacing w:after="0" w:line="13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acquired Adamas through a tender offer for $8.10 per share in cash (or an aggregate of approximately $400 million), payable at closing plus two non-tradable contingent value rights (CVR) collectively worth up to $1.00 per share in cash (or an aggregate of approximately</w:t>
      </w:r>
    </w:p>
    <w:p>
      <w:pPr>
        <w:ind w:right="20"/>
        <w:spacing w:after="0" w:line="253" w:lineRule="auto"/>
        <w:rPr>
          <w:sz w:val="20"/>
          <w:szCs w:val="20"/>
          <w:color w:val="auto"/>
        </w:rPr>
      </w:pPr>
      <w:r>
        <w:rPr>
          <w:rFonts w:ascii="Times New Roman" w:cs="Times New Roman" w:eastAsia="Times New Roman" w:hAnsi="Times New Roman"/>
          <w:sz w:val="18"/>
          <w:szCs w:val="18"/>
          <w:color w:val="auto"/>
        </w:rPr>
        <w:t>$50 million), for a total consideration of $9.10 per share in cash (or an aggregate of approximately $450 million). The first CVR, represents a contractual right to receive a contingent payment of $0.50 per share in cash, is payable upon achieving net sales of GOCOVRI of $150 million in any four consecutive quarters between closing and the end of 2024. The second CVR represents a contractual right to receive a contingent payment of $0.50 per share in cash, is payable upon achieving net sales of GOCOVRI of $225 million in any four consecutive quarters between closing and the end of 2025.</w:t>
      </w:r>
    </w:p>
    <w:p>
      <w:pPr>
        <w:spacing w:after="0" w:line="14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part of the USWM Acquisition, the Company acquired the right to further develop and commercialize APOKYN, XADAGO, and the Apomorphine Infusion Device (SPN-830) in the U.S. and MYOBLOC worldwide (the Products) for an upfront cash payment of $300 million and the potential for additional contingent consideration payments of up to $230 million. The potential $230 million in contingent consideration payments includes up to $130 million for the achievement of certain SPN-830 regulatory and commercial activities and up to $100 million related to future sales performance of the acquired products. The regulatory and commercial milestone activities include milestones related to FDA acceptance and approval of NDA and milestones dependent on the timing of NDA approval and commercial launch of SPN-830. Sales-based milestones are dependent on achievement of future product sales targets. As ONAPGO (apomorphine hydrochloride) injection, formerly known as</w:t>
      </w:r>
    </w:p>
    <w:p>
      <w:pPr>
        <w:sectPr>
          <w:pgSz w:w="11900" w:h="16838" w:orient="portrait"/>
          <w:cols w:equalWidth="0" w:num="1">
            <w:col w:w="11200"/>
          </w:cols>
          <w:pgMar w:left="320" w:top="29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SPN-830, received FDA approval in February 2025, certain milestones related to the FDA approval of the SPN-830 NDA were paid in February 2025, and we expect certain of the remaining regulatory and commercial milestone activities to become due and paid in 2025.</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the assets acquired from the acquisitions, which included intangible assets, were recorded at their estimated fair value at the applicable date of acquisition. The fair value of intangible assets, including acquired in-process research and development (IPR&amp;D), were determined using information available as of the applicable acquisition date and were based on estimates and assumptions that were deemed reasonable by management. The fair value of these contingent consideration liabilities and the CVR is determined as of the applicable acquisition date using estimated or forecast inputs. Changes in any of the inputs or assumptions to the fair value estimate may result in a significantly different fair value adjustment, which may impact the results of operations in the period in which the adjustment is made.</w:t>
      </w:r>
    </w:p>
    <w:p>
      <w:pPr>
        <w:spacing w:after="0" w:line="14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cannot assure you that we will be able to complete acquisitions that we believe are necessary to complement our growth strategy on acceptable terms or at all. Further, if we do successfully integrate the operations of any companies that we have acquired or subsequently acquire, we may not achieve the potential benefits of such acquisitions. If we do not achieve the anticipated benefits of acquisition as rapidly or to the extent anticipated by management, or if others do not perceive the same benefits of the acquisition as we do, there could be a material, adverse effect on our business, cash flows, financial condition or results of operations. Further, we expect to incur substantial expenses in connection with the integration activities, and actual integration may result in additional and unforeseen expenses.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Any impairment in the value of our intangible assets, including goodwill, would negatively affect our operating results and total capitalization.</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part of prior acquisitions, we acquired substantial intangible assets, including goodwill. We may not realize all the economic benefits from acquisitions, which could cause an impairment of goodwill or other intangibles. We review our intangible assets for impairment when events or changes in circumstances indicate the carrying value may not be recoverable. For example, during the year ended December 31, 2023, the Company recognized impairment charges of $20.2 million mainly due to the partial write-off of the carrying value of some of its acquired intangible assets, primarily XADAGO. Factors that may lead to an impairment determination include: (1) the performance of an acquired commercial products; (2) anticipated loss of exclusivity of an acquired commercial product; and (3) changes in the Company's future outlook of acquired products.</w:t>
      </w:r>
    </w:p>
    <w:p>
      <w:pPr>
        <w:spacing w:after="0" w:line="14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test goodwill for impairment at least annually. Factors that may cause a change in circumstances, indicating that the carrying value of our goodwill or intangible assets may not be recoverable, include a decline in our stock price and market capitalization, reduced future cash flow estimates if significant and prolonged negative industry or economic trends exist, significant changes occur in the competitive landscape and slower growth rates in industry segments in which we participate. For example, in February 2022 the FDA approved the first generic of APOKYN (apomorphine hydrochloride injection) to treat hypomobility "OFF" episodes ("end-of-dose wearing off" and unpredictable "ON/OFF" episodes) associated with advanced Parkinson’s Disease when it approved an application for drug cartridges for use with the APOKYN brand-name pen injector. At this time, we cannot forecast what impact, if any, the FDA's approval of this generic may have on sales of APOKYN, or the value of our intangible asset associated with APOKYN. In addition, as of December 31, 2024, the Company also had an indefinite-lived intangible asset associated with SPN-830. In February 2025, the FDA approved ONAPGO (apomorphine hydrochloride) injection, formerly known as SPN-830, as the first and only subcutaneous apomorphine infusion device for the treatment of motor fluctuations in adults with advanced PD. The drug regulatory approval process is inherently uncertain, lengthy, and difficult. The FDA has substantial discretion in the drug approval process, including the ability to delay, limit or deny approval of a product candidate for many reasons. Any adverse action by the FDA can potentially impact our estimated fair value of the IPR&amp;D intangible asset. We may be required to record a significant charge in our consolidated financial statements during the period in which any impairment of our goodwill or other intangible assets is determined, negatively affecting our results of operations and equity book value, the effect of which could be material.</w:t>
      </w:r>
    </w:p>
    <w:p>
      <w:pPr>
        <w:spacing w:after="0" w:line="166"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1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Changes in tax laws or regulations that are applied adversely to us or our customers may have a material adverse effect on our business, cash flow, financial condition or results of operations. New income, sales and use or other tax laws or regulations could be enacted at any time, which could adversely affect our business operations and financial performance. Further, existing tax laws and regulations could be interpreted, modified or applied adversely to us. These events could require us to pay additional taxes on a prospective or retroactive basis, as well as penalties, interest and other costs for past amounts deemed to be due. New laws, or laws that are changed, modified or newly interpreted or applied, also could increase our compliance, operating and other costs, as well as the costs of our products. Further, the Tax Act enacted many significant changes to the U.S. tax laws, some of</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which were further modified by the Coronavirus Aid, Relief, and Economic Security Act, and may be modified in the future by the current or a future presidential administration. Among other changes, the Tax Act amended the Code to require that certain research and experimental expenditures be capitalized and amortized over five years if incurred in the United States or fifteen years if incurred in foreign jurisdictions for tax years beginning after December 31, 2021. Although the U.S. Congress has considered legislation that would defer, modify, or repeal the capitalization and amortization requirement, there is no assurance that such changes will be made. If the requirement is not deferred, repealed or otherwise modified, it may increase our cash taxes and effective tax rate. In addition, it is uncertain if and to what extent various states will conform to current federal law, or any newly enacted federal tax legislation.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w:t>
      </w:r>
    </w:p>
    <w:p>
      <w:pPr>
        <w:spacing w:after="0" w:line="144"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have been profitable from operations since the fourth quarter of 2014, there is no assurance that we will continue to generate net income in the future. We may not be able to maintain or increase profitability.</w:t>
      </w:r>
    </w:p>
    <w:p>
      <w:pPr>
        <w:spacing w:after="0" w:line="11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recent years, we have focused primarily on marketing our current products and developing our product candidates, with the goal of supporting regulatory approval for our product candidates. We have financed our operations through revenue generated from operations and various financing transactions.</w:t>
      </w:r>
    </w:p>
    <w:p>
      <w:pPr>
        <w:spacing w:after="0" w:line="14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ability to remain profitable depends upon our ability to generate the same or increasing levels of revenue from sales of our commercial products while simultaneously funding the requisite research expenditures to gain FDA approval for our product candidates. Future revenues will highly depend on our ability to maintain or grow demand for our products and defend against potential generic competition and successfully develop and commercialize our product candidates.</w:t>
      </w:r>
    </w:p>
    <w:p>
      <w:pPr>
        <w:spacing w:after="0" w:line="1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we had retained earnings of approximately $556.4 million. However, prior to 2018, we reported accumulated deficit due to significant operating losses incurred since inception through 2014, substantially as a consequence of costs incurred in connection with our development programs, expenses associated with launching our products, and from selling, general and administrative costs associated with our operations. We expect our research and development costs to continue to be substantial and to increase as we advance our product candidates through preclinical studies, clinical trials, manufacturing scale-up, and other pre-approval activities. We expect our selling, general and administrative costs to continue to increase as we continue to support the ongoing commercialization of our products and to further increase in anticipation of launching new product candidates.</w:t>
      </w:r>
    </w:p>
    <w:p>
      <w:pPr>
        <w:spacing w:after="0" w:line="14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While we operated profitably in 2024, we cannot be certain that we will continue to do so. Any potential future losses, if and when they occur, could have an adverse impact on our stockholders' equity and working capital.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Securities Markets and Investment in Our Stock</w:t>
      </w:r>
    </w:p>
    <w:p>
      <w:pPr>
        <w:spacing w:after="0" w:line="18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shares of our common stock, or instruments convertible into or rights to acquire shares or our common stock, or market sales of our common stock, could affect the market price of our common stock.</w:t>
      </w:r>
    </w:p>
    <w:p>
      <w:pPr>
        <w:spacing w:after="0" w:line="11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may conduct future offerings of our common stock, preferred stock, or other securities that are convertible into or exercisable for our common stock to finance our operations, fund acquisitions, or for other purposes. Sales of our common stock, or the perception in the market that the holders of a large number of shares intend to sell shares, could reduce the market price of our common stock, which would impair our ability to raise future capital through the sale of additional equity securities.</w:t>
      </w:r>
    </w:p>
    <w:p>
      <w:pPr>
        <w:spacing w:after="0" w:line="1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as of December 31, 2024, we had outstanding 55,743,095 shares of common stock, of which approximately 2,242,033 shares are restricted securities that may be sold in accordance with the resale restrictions under Rule 144 of the Securities Act of 1933, as amended (Securities Act), or pursuant to a resale registration statement. Also, as of December 31, 2024, we had outstanding options to purchase 6,719,073 shares of common stock that, if exercised, would result in these additional shares becoming available for sale. We have also registered all common stock subject to options, restricted stock units and performance stock units outstanding or reserved for issuance under our 2005 Stock Plan, 2012 Equity Incentive Plan, 2021 Equity Incentive Plan and 2012 Employee Stock Purchase Plan. An aggregate of 4,609,727 and 584,192 shares of our common stock are reserved for future grant issuance under the 2021 Equity Incentive Plan and the 2012 Employee Stock Purchase Plan, respectively.</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we issue additional shares of our common stock or issue rights to acquire shares of our common stock, if any of our existing stockholders sells a substantial amount of our common stock, or if the market perceives that such issuances or sales may occur, then the trading price of our common stock may significantly decrease. In addition, our issuance of additional shares of common stock will dilute the ownership interests of our existing common stockholders.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18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historically has been volatile. In addition, the market price of our common stock may fluctuate significantly in response to a number of factors, including but not limited to:</w:t>
      </w:r>
    </w:p>
    <w:p>
      <w:pPr>
        <w:spacing w:after="0" w:line="12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for the U.S. stock market;</w:t>
      </w:r>
    </w:p>
    <w:p>
      <w:pPr>
        <w:spacing w:after="0" w:line="198"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performance of products, including Qelbree, GOCOVRI, Oxtellar XR, Trokendi XR, and APOKYN, or any of our product candidates that receive regulatory approval;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of our products in favor of generic versions of our products or competitors' products;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patent infringement lawsuits, if applicable;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ANDAs by generic companies seeking approval to market generic versions of our products;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in, and results from clinical trials of our product candidates generally;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international regulatory actions, including actions on regulatory applications for any of our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services or technologies, commercial relationships, acquisitions, or other events by us or our competitors;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regulatory changes in the pharmaceutical and biotechnology sectors;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products and/or potential products;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in our operating results from the estimates of securities analysts;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by our executive officers, directors, and significant stockholders;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coverage and reimbursement policies for our products and/or product candidates;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by us of our stock price in the financial or scientific press or investor communities.</w:t>
      </w:r>
    </w:p>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realization of any of the risks described in these "Risk Factors" could have a dramatic, material, and adverse impact on the market price of our common stock. In addition, class action litigation has often been instituted against companies whose securities have experienced periods of volatility. Any such litigation brought against us could result in substantial costs and a diversion of management attention, which could hurt our business, operating results, and financial condition.</w:t>
      </w:r>
    </w:p>
    <w:p>
      <w:pPr>
        <w:spacing w:after="0" w:line="13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negatively impact the market price of our common stock.</w:t>
      </w:r>
    </w:p>
    <w:p>
      <w:pPr>
        <w:spacing w:after="0" w:line="11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as amended, may have the effect of delaying or preventing a change of control. These provisions include the following:</w:t>
      </w:r>
    </w:p>
    <w:p>
      <w:pPr>
        <w:spacing w:after="0" w:line="135" w:lineRule="exact"/>
        <w:rPr>
          <w:sz w:val="20"/>
          <w:szCs w:val="20"/>
          <w:color w:val="auto"/>
        </w:rPr>
      </w:pPr>
    </w:p>
    <w:p>
      <w:pPr>
        <w:ind w:left="660" w:right="24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divided into three classes, serving staggered three-year terms, such that not all members of the board will be elected at one time. This staggered board structure prevents stockholders from replacing the entire board at a single stockholders' meeting;</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right="1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12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preferred stock. The ability to authorize preferred stock makes it possible for our board of directors to issue preferred stock with voting or other rights or preferences that could impede the success of any attempt to acquire us;</w:t>
      </w:r>
    </w:p>
    <w:p>
      <w:pPr>
        <w:spacing w:after="0" w:line="135"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to nominate individuals for election to the board of directors or to propose matters that can be acted upon at a stockholders' meeting. Furthermore, stockholders may only remove a member of our board of directors for cause. These provisions may discourage or deter a potential acquirer from conducting a solicitation of proxies to elect such acquirer's own slate of directors or otherwise attempting to obtain control of our Company;</w:t>
      </w:r>
    </w:p>
    <w:p>
      <w:pPr>
        <w:spacing w:after="0" w:line="152"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As a result, a holder, or holders, controlling a majority of our capital stock would not be able to take certain actions outside of a stockholders' meeting;</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stockholders may be called only by the chairman of our board of directors or a majority of our board of directors. As a result, a holder, or holders, controlling a majority of our capital stock would not be able to call a special meeting; and</w:t>
      </w:r>
    </w:p>
    <w:p>
      <w:pPr>
        <w:spacing w:after="0" w:line="121"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supermajority (75%) of the voting power of outstanding shares of our capital stock is required to amend, repeal or adopt any provision inconsistent with certain provisions of our certificate of incorporation and to amend our by-laws, which make it more difficult to change the provisions described above.</w:t>
      </w:r>
    </w:p>
    <w:p>
      <w:pPr>
        <w:spacing w:after="0" w:line="14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13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outstanding stock options are exercised and restricted stock units and performance stock units vest there will be dilution to new investors.</w:t>
      </w:r>
    </w:p>
    <w:p>
      <w:pPr>
        <w:spacing w:after="0" w:line="11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had issued options to purchase 6,719,073 shares of common stock outstanding, with exercise prices ranging from $9.13 to $58.15 per share and a weighted average exercise price of $30.44 per share, as well as 378,165 unvested restricted stock units and 324,685 performance stock units. Upon the vesting of each of these options, the holder may exercise his or her options, and following the vesting of the restricted stock units and performance stock units the holder will receive shares of common stock, which would, in any case, result in dilution to investors.</w:t>
      </w:r>
    </w:p>
    <w:p>
      <w:pPr>
        <w:spacing w:after="0" w:line="149"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1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2018 we incurred $402.5 million of indebtedness as a result of the sale of 0.625% Convertible Senior Notes, which matured on April 1, 2023 (2023 Notes) at which time the Company paid the total principal amount and the outstanding interest due. During the first quarter of 2023, we entered into the Credit Line, an uncommitted demand secured credit line with a financial institution for up to $150.0 million. In the future, we may incur indebtedness, including by drawing funds from the Credit Line, to meet financing needs or otherwise refinance existing indebtedness. Indebtedness could have significant negative consequences for our security holders and our business, results of operations, and financial condition by, among other things:</w:t>
      </w:r>
    </w:p>
    <w:p>
      <w:pPr>
        <w:spacing w:after="0" w:line="143"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would reduce the amount of cash available for other purposes;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any indebtedness we incur.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Credit Line is an uncommitted debt facility that may be terminated by the lender at any time.</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Credit Line is an uncommitted debt facility and, accordingly, the lender may not provide funding to us when we request a borrowing thereunder. Additionally, the terms of the Credit Line permit the lender to terminate the Credit Line and demand full or partial payment of amounts borrowed thereunder at any time. Although we believe that our existing financing sources, including the Credit Line, are adequate for our current operations, reductions in our available credit, or the inability to draw on the Credit Line, could have an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Our patent protection could be reduced or eliminated for non-compliance with these requirements.</w:t>
      </w:r>
    </w:p>
    <w:p>
      <w:pPr>
        <w:spacing w:after="0" w:line="13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in lapse of a patent or patent application, resulting in partial or complete loss of patent rights in the relevant jurisdiction. In such an event, competitors might be able to enter the market earlier than would otherwise have been the case, causing damage to our business.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sufficient to cover our legal claims or other losses that we may incur in the future.</w:t>
      </w:r>
    </w:p>
    <w:p>
      <w:pPr>
        <w:spacing w:after="0" w:line="18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seek to minimize any losses we may incur through various insurance contracts from third-party insurance carriers. However, our insurance coverage is subject to large individual claim deductibles, individual claim and aggregate policy limits, and other terms and conditions. We cannot assure that our insurance will be sufficient to cover our losses. Further, due to rising insurance costs and changes in the insurance markets, we cannot provide assurance that insurance coverage will continue to be available on terms similar to those presently available to us or available at all. Any such losses not covered by insurance could have a material adverse effect on our financial condition, results of operations, and cash flows.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pharmaceutical companies, including our competitors or potential competitors. As such, we may be subject to claims that we or these employees have used or disclosed trade secrets or disclosed other proprietary information of their former employers. Litigation may be necessary to defend against these claims. Even if we are successful in defending against such claims, litigation could result in substantial costs and be a distraction to management.</w:t>
      </w:r>
    </w:p>
    <w:p>
      <w:pPr>
        <w:spacing w:after="0" w:line="135"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significant, complex, and unusual transactions, which may require us to engage outside consultants and financial professionals in order to comply with complex accounting and reporting requirements.</w:t>
      </w:r>
    </w:p>
    <w:p>
      <w:pPr>
        <w:spacing w:after="0" w:line="11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presented with and may choose to enter into significant, complex, and unusual business or financial transactions, either to raise capital or in the context of entering into a business arrangement with a third party. These transactions may entail complex accounting or financial reporting requirements, with which we may not be familiar. Accordingly, we may need to hire additional personnel or retain the services of outside accounting, financial reporting, and legal experts to guide both the transaction and to assist management in becoming compliant with the attendant financial reporting requirements. Acquiring such additional resources could increase our legal and financial compliance costs, divert management's attention from other matters, and/or make certain activities more time consuming.</w:t>
      </w:r>
    </w:p>
    <w:p>
      <w:pPr>
        <w:spacing w:after="0" w:line="16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Given the complexity of such transactions, there is an inherent risk regarding compliance with financial reporting requirements. Because the relevant regulations and standards are subject to varying interpretation, in many cases due to their lack of specificity, their application in practice may evolve over time, as new guidance is provided by regulatory and governing bodies, and as the market gains familiarity with these requirements. This could result in continuing uncertainty regarding compliance matters and on-going financial reporting requirements.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If our efforts to comply with new laws, regulations, and accounting standards differ from the intentions of regulatory or governing bodies due to ambiguities related to their application and practice, regulatory authorities may initiate legal proceedings against us, and our business may be adversely affected.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rely on sophisticated information technology, systems, and infrastructure, a disruption of which could harm our operations.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not be able to make improvements to our management information and control systems in an efficient or timely manner and may discover deficiencies in existing systems and controls. In addition, we rely on various information technology, and systems, some of which are dependent on services provided by third parties, to manage our technology platform and operations. These systems provide critical data and services for internal and external users, including procurement, inventory management, transaction processing, financial, commercial, and operational data, human resources management, legal and tax compliance, financial reporting, and other information necessary to operate and manage our business. These systems are complex and are frequently updated as technology improves. This includes software and hardware that is licensed, leased, or purchased from third parties. If our information technology, equipment, or systems fail to function properly due to internal errors or defects, implementation or integration issues, catastrophic events, cyberattacks, or power outages, we may experience a material disruption in our ability to manage our business operations. Failure or disruption of these systems could have an adverse effect on our operating results and financial condition. In addition, we may not be able to make improvements to our management information and control systems in an efficient or timely manner and may discover deficiencies in existing systems and controls. Any failure to manage, expand, or update our information technology infrastructure, or any failure in the operation of this infrastructure, could harm our business.</w:t>
      </w:r>
    </w:p>
    <w:p>
      <w:pPr>
        <w:spacing w:after="0" w:line="159"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and may be unable to raise capital when needed, which would force us to delay, reduce or eliminate our product development programs, commercialization, or business development efforts.</w:t>
      </w:r>
    </w:p>
    <w:p>
      <w:pPr>
        <w:spacing w:after="0" w:line="11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Developing or acquiring products and product candidates, conducting clinical trials, establishing manufacturing relationships and marketing drugs are expensive and uncertain processes.</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unforeseen circumstances may arise, or our strategic imperatives could change, causing us to consume capital significantly faster than we currently anticipate, requiring us to raise additional funds. We have no committed external sources of funds.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w:t>
      </w:r>
    </w:p>
    <w:p>
      <w:pPr>
        <w:spacing w:after="0" w:line="18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support our products in the marketplace and the rate of increase in the level of sales in the marketplace;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clinical success, and cost of our trials and other product development programs for our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in-licensing product candidates or acquiring other complementary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regulatory approvals of our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and their success in selling competitive product offerings, including generics;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terms, and timing of any collaborative, licensing, co-promotion, or other arrangement.</w:t>
      </w:r>
    </w:p>
    <w:p>
      <w:pPr>
        <w:spacing w:after="0" w:line="18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Additional financing may not be available in the amount we require or may not be available on terms that are favorable to us or at all. We may seek additional capital due to favorable market conditions or strategic considerations, even if we believe we have sufficient funds for our current or future operating plans. If adequate funds are not available to us on a timely basis, or at all, we may be required to delay, reduce the scope of, or eliminate one or more of our development programs, our commercialization efforts, or strategic initiatives.</w:t>
      </w:r>
    </w:p>
    <w:p>
      <w:pPr>
        <w:spacing w:after="0" w:line="13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increased financial reporting and securities laws reporting requirements has increased our costs and requires additional management resources. We may fail to meet these obligations.</w:t>
      </w:r>
    </w:p>
    <w:p>
      <w:pPr>
        <w:spacing w:after="0" w:line="13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Compliance with Section 404 of SOX, the Dodd-Frank Act of 2010, as well as rules of the Securities and Exchange Commission and NASDAQ, for example, has resulted in significant initial costs to us as well as ongoing legal, audit and financial reporting costs. As of the beginning of 2017, we transitioned from "accelerated filer" to "large accelerated filer" status, which led to further increases in our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legal, audit, NASDAQ listing fees, and financial compliance costs. The Securities Exchange Act of 1934, as amended (the Exchange Act), requires, among other things, that we file annual, quarterly, and current reports with respect to our business and financial condition. Our board of directors, management, and outside advisors need to devote a substantial amount of time to these compliance initiatives. Moreover, these rules and regulations make it more difficult and more expensive for us to obtain director and officer liability insurance and require us to incur substantial and increasing costs to maintain the same or similar coverage.</w:t>
      </w:r>
    </w:p>
    <w:p>
      <w:pPr>
        <w:spacing w:after="0" w:line="1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public company, we are subject to Section 404 of SOX relating to internal control over financial reporting. We have and expect to continue to incur significant expense and to devote substantial management effort toward ensuring compliance with Section 404.</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Implementing any necessary changes to our internal controls may require specific compliance training for our directors, officers, and employees, entail substantial costs to modify or replace our existing accounting systems, and take a significant period of time to complete. Such changes may not, however, be effective in maintaining the adequacy of our internal controls. Any failure to maintain that adequacy, or consequent inability to produce accurate consolidated financial statements or other reports on a timely basis, could increase our operating costs and could materially impair our ability to operate our business. We cannot give assurance that our internal control over financial reporting will prove to be effective.</w:t>
      </w:r>
    </w:p>
    <w:p>
      <w:pPr>
        <w:spacing w:after="0" w:line="152"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Because we do not anticipate paying any cash dividends in the foreseeable future, capital appreciation, if any, of our common stock will be your sole source of gain on an investment in our common stock.</w:t>
      </w:r>
    </w:p>
    <w:p>
      <w:pPr>
        <w:spacing w:after="0" w:line="11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paid no cash dividends, and we currently intend to retain our future earnings, if any, to fund the development and growth of our business. We do not anticipate paying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our stockholders have purchased their shares.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0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As a result of economic conditions and other geopolitical events, in recent years the global credit and financial markets have experienced extreme volatility and disruptions, which has included periods of severely diminished liquidity and credit availability, declines in consumer confidence, declines in economic growth, and increases in inflation and uncertainty about economic stability. The financial markets, global economy and supply chains have and may continue to be adversely affected by pandemics, economic conditions and current or anticipated geopolitical events, including the impact of military conflicts, sanctions imposed in response to such conflicts, and any economic countermeasures by the affected countries or others could exacerbate market and economic instability. There can be no assurance that further deterioration in supply chains, credit and financial markets and confidence in economic conditions will not occur. Our general business strategy may be adversely affected by any such economic downturn, volatile business environment, inflationary economic environment or continued unpredictable and unstable market conditions, including disruption to enrollment within our ongoing clinical trials and our ability to purchase necessary supplies on acceptable terms, if at all, and increased costs in compensation levels to recruit and retain qualified personnel and to carry out ongoing and future clinical trials.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suppliers or other partners may not survive an economic downturn or rising inflation, which could directly affect our ability to attain our operating goals on schedule and on budget.</w:t>
      </w:r>
    </w:p>
    <w:p>
      <w:pPr>
        <w:spacing w:after="0" w:line="15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business depends on information technology systems and networks, which we protect from cyber threats that could harm our data, operations, and reputation. We have invested in security measures designed to safeguard the data of our customers and employees, prevent, detect, and respond to cyberattacks, and comply with data privacy requirements.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approach to cybersecurity begins with our responsibility for strong governance and controls. Security begins at the top of our organization, where Company leadership consistently communicates the requirements for vigilance and compliance throughout the organization, and then leads by example. We use a risk-based and layered approach to prevent, detect, and respond to cyberattacks, and leverage external partnerships for threat intelligence.</w:t>
      </w:r>
    </w:p>
    <w:p>
      <w:pPr>
        <w:spacing w:after="0" w:line="13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risk identification, risk management and risk mitigation strategies associated to cybersecurity related information technology risks, including fully documenting our cybersecurity policies and procedures and cybersecurity risk management program as well as implementing a cybersecurity risk management program and ensuring compliance with our cybersecurity policies and procedures. Our Senior Vice President of Quality, GMP Operations, and Information Technology leads our Information Technology team, which includes experienced and information security professionals and has expertise in various aspects of cybersecurity, such as network security, data protection, incident response, threat intelligence, and security awareness. Our Information Technology Team’s expertise is supplemented by external consultants who provide specialized services and independent assessments of our cybersecurity posture and capabilities.</w:t>
      </w:r>
    </w:p>
    <w:p>
      <w:pPr>
        <w:spacing w:after="0" w:line="14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Management has appointed a Cybersecurity Incident Response Team (the “CSIRT”) which is operationally responsible for coordinating, executing, and managing cybersecurity incident response activities. The CSIRT is comprised of experienced information security personnel from our Information Technology team. The CSIRT’s responsibilities include, among other things, incident identification and escalation to designated members of management. Among the designated members of management who are required to be notified are our Chief Executive Officer and our Chief Financial Officer.</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appointed its Audit Committee as its primary body to oversee management’s risk identification, risk management and risk mitigation strategies related to cybersecurity related information technology risks. Members of our management who have responsibility for designing and implementing our risk management processes are required to meet periodically with the Audit Committee regarding our policies, processes, procedures and any significant development related to the identification, management and mitigation of cybersecurity risks. The Audit Committee’s primary oversight of management’s cybersecurity risk management efforts is supplemented by our full Board, which is required to receive, on an annual basis an update from management on any significant developments related to the identification, management and mitigation of cybersecurity risks.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Identification and Management</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part of management’s initiative to enhance our information security program, during 2024 our program underwent an internal audit, which was supported by an international firm experienced in auditing such programs. The results of the audit are being used by management to supplement previously planned enhancements. Management, with the assistance of third-party experts, is developing and implementing governance-related enhancements to its cybersecurity risk management program. A significant aspect of that process involves fully documenting policies, standards and procedures and developing others, including personnel training requirements, threat monitoring, detection, and containment standards, risk assessment processes, standards for third-party penetration testing, and standards for third-party vendor security requirements. Management expects that the program will continue to adapt and incorporate new techniques and procedures in an effort to combat evolving and novel cybersecurity threats.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cybersecurity risk management program includes the following key elements:</w:t>
      </w:r>
    </w:p>
    <w:p>
      <w:pPr>
        <w:spacing w:after="0" w:line="183" w:lineRule="exact"/>
        <w:rPr>
          <w:sz w:val="20"/>
          <w:szCs w:val="20"/>
          <w:color w:val="auto"/>
        </w:rPr>
      </w:pPr>
    </w:p>
    <w:p>
      <w:pPr>
        <w:ind w:left="660" w:right="300" w:hanging="328"/>
        <w:spacing w:after="0" w:line="281" w:lineRule="auto"/>
        <w:tabs>
          <w:tab w:leader="none" w:pos="65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Cybersecurity risk mitigation: </w:t>
      </w:r>
      <w:r>
        <w:rPr>
          <w:rFonts w:ascii="Times New Roman" w:cs="Times New Roman" w:eastAsia="Times New Roman" w:hAnsi="Times New Roman"/>
          <w:sz w:val="17"/>
          <w:szCs w:val="17"/>
          <w:color w:val="auto"/>
        </w:rPr>
        <w:t>We utilize various measures, tools and controls to prevent, detect, and mitigate cyberattacks, such as firewalls,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antivirus software, encryption, authentication, backup, and recovery. We also adopt a defense-in-depth approach that layers multiple security mechanisms across our information systems and networks, such as perimeter, endpoint, application, and data security. We monitor and test our security measures and controls, and we update and enhance them as needed to address new and emerging cyber threats and vulnerabilities.</w:t>
      </w:r>
    </w:p>
    <w:p>
      <w:pPr>
        <w:spacing w:after="0" w:line="125" w:lineRule="exact"/>
        <w:rPr>
          <w:rFonts w:ascii="Times New Roman" w:cs="Times New Roman" w:eastAsia="Times New Roman" w:hAnsi="Times New Roman"/>
          <w:sz w:val="17"/>
          <w:szCs w:val="17"/>
          <w:color w:val="auto"/>
        </w:rPr>
      </w:pPr>
    </w:p>
    <w:p>
      <w:pPr>
        <w:ind w:left="660" w:right="10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 also rely on specialized services or tools from third-party vendors and software companies including network monitoring, threat, incident and breach identification and data security and backup services. For third-party service providers whose software or personnel have access to our systems, we review their security audit reports prior to the commencement of their services.</w:t>
      </w:r>
    </w:p>
    <w:p>
      <w:pPr>
        <w:spacing w:after="0" w:line="146" w:lineRule="exact"/>
        <w:rPr>
          <w:rFonts w:ascii="Times New Roman" w:cs="Times New Roman" w:eastAsia="Times New Roman" w:hAnsi="Times New Roman"/>
          <w:sz w:val="17"/>
          <w:szCs w:val="17"/>
          <w:color w:val="auto"/>
        </w:rPr>
      </w:pPr>
    </w:p>
    <w:p>
      <w:pPr>
        <w:ind w:left="660" w:right="180" w:hanging="328"/>
        <w:spacing w:after="0" w:line="258"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risk response: </w:t>
      </w:r>
      <w:r>
        <w:rPr>
          <w:rFonts w:ascii="Times New Roman" w:cs="Times New Roman" w:eastAsia="Times New Roman" w:hAnsi="Times New Roman"/>
          <w:sz w:val="18"/>
          <w:szCs w:val="18"/>
          <w:color w:val="auto"/>
        </w:rPr>
        <w:t>The Company’s Executive Management, which is led by our CEO and includes leaders from across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departments, is responsible for providing the necessary resources, support, and authority for the CSIRT to carry out their responsibilities effectively. Our Executive Management team is accountable for making critical decisions in response to an incident. The CSIRT is operationally responsible for coordinating, executing, and managing incident response activities. Both our Executive Management team and CSIRT receive regular training on information security topics.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660" w:right="20" w:hanging="328"/>
        <w:spacing w:after="0" w:line="258"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education and training: </w:t>
      </w:r>
      <w:r>
        <w:rPr>
          <w:rFonts w:ascii="Times New Roman" w:cs="Times New Roman" w:eastAsia="Times New Roman" w:hAnsi="Times New Roman"/>
          <w:sz w:val="18"/>
          <w:szCs w:val="18"/>
          <w:color w:val="auto"/>
        </w:rPr>
        <w:t>We provide regular and mandatory cybersecurity education and training to our employees, contractors,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authorized users of our information systems and networks, to raise their awareness and understanding of cyber risks and their responsibilities for protecting our information systems and data. We also conduct periodic phishing and social engineering campaigns to test and reinforce the cybersecurity behavior and culture of our users. We also ensure our suppliers and other business partners, meet our cybersecurity expectations and requirements.</w:t>
      </w:r>
    </w:p>
    <w:p>
      <w:pPr>
        <w:spacing w:after="0" w:line="14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maintaining and improving our cybersecurity risk management program as our business and the cybersecurity threat environment evolves.</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Because no cybersecurity program can ensure an incident will not occur, we have established business continuity, contingency and recovery plans to be used if we experience a cybersecurity incident, and obtained cyber insurance coverage to mitigate the potential losses and liabilities arising from cyber incidents.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Incidents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November 24, 2021, we announced that we were the target of a ransomware attack. The attack had no significant impact on our business and did not cause any long-term disruption to our operations. After verifying redundant off-site data backups had not been compromised by the ransomware attack, the backups were utilized to restore the data encrypted by the criminal groups.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 In response to the 2021 ransomware attack, we accelerated previously planned information technology investments in ways designed to improve our information security and technology infrastructure. We have incurred costs since 2021 and expect to continue to incur costs as we continue to invest in our information security and technology infrastructure.</w:t>
      </w:r>
    </w:p>
    <w:p>
      <w:pPr>
        <w:spacing w:after="0" w:line="1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Despite our security measures, our information technology and infrastructure may be vulnerable to cybersecurity incidents in the future, and our insurance may be inadequate to mitigate the potential losses and liabilities arising from such an incident. For additional information regarding cybersecurity risks we face, see Item 1A. Risk Factors - </w:t>
      </w:r>
      <w:r>
        <w:rPr>
          <w:rFonts w:ascii="Times New Roman" w:cs="Times New Roman" w:eastAsia="Times New Roman" w:hAnsi="Times New Roman"/>
          <w:sz w:val="18"/>
          <w:szCs w:val="18"/>
          <w:i w:val="1"/>
          <w:iCs w:val="1"/>
          <w:color w:val="auto"/>
        </w:rPr>
        <w:t>Cybersecurity incidents may adversely impact our financial condition, results of operations, and reputation.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breaches and other disruptions could compromise our information and expose us to liability which would cause our business and reputation to suffer.</w:t>
      </w:r>
    </w:p>
    <w:p>
      <w:pPr>
        <w:spacing w:after="0" w:line="1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9715 and 9717 Key West Avenue, Rockville, Maryland, where we occupy approximately 136,016 square feet of laboratory and office space. The term of this lease commenced on February 1, 2019, and shall continue until April 30, 2034. We believe that these facilities are sufficient for our present and contemplated operations.</w:t>
      </w:r>
    </w:p>
    <w:p>
      <w:pPr>
        <w:spacing w:after="0" w:line="1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and in the ordinary course of business, Supernus Pharmaceuticals, Inc. ("Company") and any of its subsidiaries may be subject to various claims, charges and litigation. Parent and any of its subsidiaries may be required to file infringement claims against third parties for the infringement of our patents.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Oxtellar XR</w:t>
      </w:r>
      <w:r>
        <w:rPr>
          <w:rFonts w:ascii="Times New Roman" w:cs="Times New Roman" w:eastAsia="Times New Roman" w:hAnsi="Times New Roman"/>
          <w:sz w:val="23"/>
          <w:szCs w:val="23"/>
          <w:b w:val="1"/>
          <w:bCs w:val="1"/>
          <w:i w:val="1"/>
          <w:iCs w:val="1"/>
          <w:color w:val="auto"/>
          <w:vertAlign w:val="superscript"/>
        </w:rPr>
        <w:t>®</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 Supernus Pharmaceuticals, Inc. v. Ajanta Pharma Limited, C.A. No. 22-cv-1431 (GBW) (D. Del.)</w:t>
      </w:r>
    </w:p>
    <w:p>
      <w:pPr>
        <w:spacing w:after="0" w:line="20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Ajanta Pharma Limited (“Ajanta”) dated September 19, 2022, directed to ten of its Oxtellar XR® Orange Book patents. Supernus’s U.S. Patent Nos. 7,722,898; 7,910,131; 8,617,600; 8,821,930; 9,119,791; 9,351,975; 9,370,525; 9,855,278; 10,220,042; and 11,166,960 generally cover once-a-day oxcarbazepine formulations and methods of treating seizures using those formulations. The FDA Orange Book lists all ten of the Company’s Oxtellar XR® patents as expiring on April 13, 2027. On October 28, 2022, the Company filed a lawsuit against Ajanta alleging infringement of the Company’s ten Oxtellar XR® patents. The Complaint—filed in the U.S. District Court for the District of Delaware—alleges, among other things, that Ajanta infringed the Company’s Oxtellar XR® patents by submitting to the FDA an Abbreviated New Drug Application (“ANDA”) seeking to market a generic version of Oxtellar XR® prior to the expiration of the Company’s patents. Filing its October 28, 2022 Complaint within 45 days of receiving Ajanta’s Paragraph IV certification notice entitles Supernus to an automatic stay preventing the FDA from approving Ajanta’s ANDA for 30 months from the date of the Company’s receipt of the Paragraph IV Notice Letter. On January 3, 2023, Ajanta answered the Complaint and denied the substantive allegations of the Complaint, asserting affirmative defenses that include non-infringement and invalidity. Ajanta also asserted Counterclaims seeking declaratory judgments of non-infringement and invalidity. On January</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24, 2023, the Company filed its Reply, denying the substantive allegations of Ajanta’s Counterclaims. The Court issued a Scheduling Order on July 13, 2023, that set a trial date of February 10, 2025. The Company entered into a settlement agreement with Ajanta, and on January 18, 2024, a stipulation of dismissal without prejudice was entered by the U.S. District Court for the District of Delaware. The agreement has been submitted to the applicable governmental agencies.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Supernus Pharmaceuticals, Inc. v. Aurobindo Pharma Ltd. and Aurobindo Pharma USA, Inc., C.A. No. 24-cv-9380 (KMW) (MJS) (D.N.J)</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Aurobindo Pharma Ltd. dated August 9, 2024, directed to eleven of its Oxtellar XR® Orange Book patents. Supernus’s U.S. Patent Nos. 7,722,898; 7,910,131; 8,617,600; 8,821,930; 9,119,791; 9,351,975; 9,370,525; 9,855,278; 10,220,042; 11,166,960; and 11,896,599 generally cover once-a-day oxcarbazepine formulations and methods of treating seizures using those formulations. The FDA Orange Book lists all eleven of the Company’s Oxtellar XR® patents as expiring on April 13, 2027. On September 23, 2024, the Company filed a lawsuit against Aurobindo Pharma Ltd. and Aurobindo Pharma USA, Inc. (collectively, “Aurobindo”) alleging infringement of the Company’s eleven Oxtellar XR® patents. The Complaint—filed in the U.S. District Court for the District of New Jersey—alleges, among other things, that Aurobindo infringed the Company’s Oxtellar XR® patents by submitting to the FDA an Abbreviated New Drug Application (“ANDA”) seeking to market a generic version of Oxtellar XR® prior to the expiration of the Company’s patents. Filing its September 23, 2024, Complaint within 45 days of receiving Aurobindo’s Paragraph IV certification notice entitles Supernus to an automatic stay preventing the FDA from approving Aurobindo’s ANDA for 30 months from the date of the Company’s receipt of the Paragraph IV Notice Letter. The Company entered into a settlement agreement with Aurobindo, and on December 9, 2024, a stipulation of dismissal without prejudice was entered by the U.S. District Court for the District of New Jersey. The agreement has been submitted to the applicable governmental agencies.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Trokendi XR</w:t>
      </w:r>
      <w:r>
        <w:rPr>
          <w:rFonts w:ascii="Times New Roman" w:cs="Times New Roman" w:eastAsia="Times New Roman" w:hAnsi="Times New Roman"/>
          <w:sz w:val="23"/>
          <w:szCs w:val="23"/>
          <w:b w:val="1"/>
          <w:bCs w:val="1"/>
          <w:i w:val="1"/>
          <w:iCs w:val="1"/>
          <w:color w:val="auto"/>
          <w:vertAlign w:val="superscript"/>
        </w:rPr>
        <w:t>®</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Supernus Pharmaceuticals, Inc. v. Ajanta Pharma Limited, et al., C.A. No. 21-cv-6964 (GC)(DEA) (D.N.J.)</w:t>
      </w:r>
    </w:p>
    <w:p>
      <w:pPr>
        <w:spacing w:after="0" w:line="189" w:lineRule="exact"/>
        <w:rPr>
          <w:sz w:val="20"/>
          <w:szCs w:val="20"/>
          <w:color w:val="auto"/>
        </w:rPr>
      </w:pPr>
    </w:p>
    <w:p>
      <w:pPr>
        <w:ind w:right="20" w:firstLine="648"/>
        <w:spacing w:after="0" w:line="217"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among other things,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in Section IV, below. The consolidation order extended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preventing the FDA from approving Ajanta’s ANDA to December 16, 2023. The Company entered into a settlement agreement with Ajanta, and on April 4, 2023, a stipulation of dismissal without prejudice was entered by the U.S. District Court for the District of New Jersey. The agreement has been submitted to the applicable governmental agencies.</w:t>
      </w:r>
    </w:p>
    <w:p>
      <w:pPr>
        <w:spacing w:after="0" w:line="163" w:lineRule="exact"/>
        <w:rPr>
          <w:sz w:val="20"/>
          <w:szCs w:val="20"/>
          <w:color w:val="auto"/>
        </w:rPr>
      </w:pPr>
    </w:p>
    <w:p>
      <w:pPr>
        <w:ind w:left="660" w:right="1120" w:hanging="323"/>
        <w:spacing w:after="0" w:line="271" w:lineRule="auto"/>
        <w:rPr>
          <w:sz w:val="20"/>
          <w:szCs w:val="20"/>
          <w:color w:val="auto"/>
        </w:rPr>
      </w:pPr>
      <w:r>
        <w:rPr>
          <w:rFonts w:ascii="Times New Roman" w:cs="Times New Roman" w:eastAsia="Times New Roman" w:hAnsi="Times New Roman"/>
          <w:sz w:val="18"/>
          <w:szCs w:val="18"/>
          <w:b w:val="1"/>
          <w:bCs w:val="1"/>
          <w:color w:val="auto"/>
        </w:rPr>
        <w:t>IV. Supernus Pharmaceuticals, Inc. v. Torrent Pharmaceuticals Ltd., et al., C.A. No. 21-cv-14268 (GC)(DEA) (D.N.J.); Supernus Pharmaceuticals, Inc. v. Ajanta Pharma Limited, et al., Appeal No. 2024-1606 (Fed. Cir.)</w:t>
      </w:r>
    </w:p>
    <w:p>
      <w:pPr>
        <w:spacing w:after="0" w:line="13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17" w:lineRule="exact"/>
        <w:rPr>
          <w:sz w:val="20"/>
          <w:szCs w:val="20"/>
          <w:color w:val="auto"/>
        </w:rPr>
      </w:pPr>
      <w:r>
        <w:rPr>
          <w:rFonts w:ascii="Times New Roman" w:cs="Times New Roman" w:eastAsia="Times New Roman" w:hAnsi="Times New Roman"/>
          <w:sz w:val="18"/>
          <w:szCs w:val="18"/>
          <w:color w:val="auto"/>
        </w:rPr>
        <w:t>“Torrent”) alleging infringement of the Company’s Trokendi XR® Orange Book patents. The Complaint—filed in the U.S. District Court for the District of New Jersey—alleges, among other things,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III, above. The Court held a bench trial between July 31, 2023, and August 3, 2023. Closing arguments for the trial were held on October 4, 2023. On December 12, 2023, the Court issued an Order enjoining Torrent from launching its generic drug product through January 31, 2024, or until the Court’s trial decision issues, whichever is sooner. On January 30, 2024, the Court issued a Trial Opinion and Order, deciding in Supernus’s favor that the patent claims that Supernus asserted at trial against Torrent are both valid and infringed. The District Court entered a Final Judgment in Supernus’s favor on February 22, 2024.</w:t>
      </w:r>
    </w:p>
    <w:p>
      <w:pPr>
        <w:spacing w:after="0" w:line="16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March 4, 2024, Torrent filed a Notice of Appeal of the Final Judgment with the U.S. Court of Appeals for the Federal Circuit. The Federal Circuit docketed the appeal as </w:t>
      </w:r>
      <w:r>
        <w:rPr>
          <w:rFonts w:ascii="Times New Roman" w:cs="Times New Roman" w:eastAsia="Times New Roman" w:hAnsi="Times New Roman"/>
          <w:sz w:val="18"/>
          <w:szCs w:val="18"/>
          <w:i w:val="1"/>
          <w:iCs w:val="1"/>
          <w:color w:val="auto"/>
        </w:rPr>
        <w:t>Supernus Pharmaceuticals, Inc. v. Ajanta Pharma Limited</w:t>
      </w:r>
      <w:r>
        <w:rPr>
          <w:rFonts w:ascii="Times New Roman" w:cs="Times New Roman" w:eastAsia="Times New Roman" w:hAnsi="Times New Roman"/>
          <w:sz w:val="18"/>
          <w:szCs w:val="18"/>
          <w:color w:val="auto"/>
        </w:rPr>
        <w:t xml:space="preserve"> because the lawsuit against Torrent was previously consolidated with the lawsuit against Ajanta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Section III above). The Court has not set the date for oral argument.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 Supernus Pharmaceuticals, Inc. v. Ascent Pharmaceuticals Inc., et al., C.A. No. 23-cv-4015 (GC)(DEA) (D.N.J.)</w:t>
      </w:r>
    </w:p>
    <w:p>
      <w:pPr>
        <w:spacing w:after="0" w:line="20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Ascent Pharmaceuticals Inc. dated June 15, 2023,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26, 2023, the Company filed a lawsuit against Ascent Pharmaceuticals Inc., ("Ascent Pharma") Camber Pharmaceuticals, Inc., and Hetero Labs Ltd. (collectively, “Ascent”) alleging infringement of the Company’s Trokendi XR® Orange Book patents. The Complaint—filed in the U.S. District Court for the District of New Jersey—alleges, among other things, that Ascent infringed the Company’s Trokendi XR® patents by submitting to the FDA an Abbreviated New Drug Application (“ANDA”) seeking to market a generic version of Trokendi XR® prior to the expiration of the Company’s patents. Filing its July 26, 2023 Complaint within 45 days of receiving Ascent’s Paragraph IV certification notice entitles Supernus to an automatic stay preventing the FDA from approving Ascent’s ANDA for 30 months from the date of the Company’s receipt of the Paragraph IV Notice Letter. On September 28, 2023, the Court entered a stipulation of dismissal without prejudice as to only defendants Camber and Hetero, which included stipulations that, among other things: (i) Ascent Pharma will not contest personal jurisdiction or venue in this District for this Action; (ii) Camber and Hetero will be bound by any injunction in this Action to the extent it concerns the Ascent ANDA; and (iii) Ascent Pharma will collect and produce any relevant discovery that is in the possession, custody, or control of Camber and Hetero. On October 11, 2023, Ascent Pharma answered the Complaint and denied the substantive allegations of the Complaint, asserting affirmative defenses that include non-infringement and invalidity. The Company entered into a settlement agreement with Ascent Pharma, and on May 2, 2024, a stipulation of dismissal without prejudice was entered by the U.S. District Court for the District of New Jersey. The agreement has been submitted to the applicable governmental agencies.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 Supernus Pharmaceuticals, Inc. v. Micro Labs Ltd., et al., C.A. No. 24-cv-9338 (ZNQ)(JTQ) (D.N.J.)</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Micro Labs Ltd. dated August 13, 2024,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U.S. Patent No. 8,298,576 as expiring on April 4, 2028, and U.S. Patent Nos. 8,298,580; 8,663,683; 8,877,248; 8,889,191; 8,992,989; 9,549,940; 9,555,004; 9,622,983; and 10,314,790 as expiring on November 16, 2027. On September 20, 2024, the Company filed a lawsuit against Micro Labs Ltd. and Micro Labs USA, Inc. (collectively, “Micro Labs”) alleging infringement of the Company’s Trokendi XR® Orange Book patents. The Complaint—filed in the U.S. District Court for the District of New Jersey—alleges, among other things, that Micro Labs infringed the Company’s Trokendi XR® patents by submitting to the FDA an Abbreviated New Drug Application (“ANDA”) seeking to market a generic version of Trokendi XR®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prior to the expiration of the Company’s patents. Filing its September 20, 2024, Complaint within 45 days of receiving Micro Labs’ Paragraph IV certification notice entitles Supernus to an automatic stay preventing the FDA from approving Micro Labs’ ANDA for 30 months from the date of the Company’s receipt of the Paragraph IV Notice Letter. The Company entered into a settlement agreement with Micro Labs, and on December 31, 2024, a stipulation of dismissal without prejudice was entered by the U.S. District Court for the District of New Jersey. The agreement has been submitted to the applicable governmental agencies.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APOKYN®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 Sage Chemical, Inc., et al. v. Supernus Pharmaceuticals, Inc., et al., C.A. No. 22-cv-1302 (CJB) (D. Del.)</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May 9, 2024, and May 28, 2024, respectively, the Court denied the Defendants’ omnibus motion and the Britannia motion to dismiss. On May 31, 2024, and June 4, 2024, respectively, the Court granted the individual defendants’ motion to dismiss and the US WorldMeds and USWM motion to dismiss. On December 6, 2024, Plaintiffs filed a second amended complaint, which added back to the case US WorldMeds and USWM. On November 4, 2024, the Court issued a scheduling order that provides for a Pretrial Conference on December 10, 2025, and a jury trial beginning on January 5, 2026. Pretrial discovery is ongoing as of the date of this submission. On January 3, 2025, the Court issued an Oral Order requiring the parties to “engage in in-person mediation in good faith” and jointly select an agreed-upon mediator. The parties are working to schedule the mediation to occur in late April 2025 in compliance with Court’s Oral Order that the mediation conference “occur no later than May 2, 2025 (unless the parties stipulate to a later date and such date is approved by the Court)."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VIII. US WorldMeds Partners, LLC v. Federal Insurance Company, et al, Case Nos. 24-CI-2529; 24-CI-4195; 24-CI-4631; and 24-CI-6988)</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(D.Del)</w:t>
      </w:r>
    </w:p>
    <w:p>
      <w:pPr>
        <w:spacing w:after="0" w:line="16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Alleged competitors of Supernus filed a lawsuit against the Company, MDD US Enterprises, LLC, and MDD Operations, LLC (collectively "Enterprises") and others in the United States District Court for the District of Delaware (the “Underlying Action”). After a dispute over coverage under certain insurance policies arose, Enterprises commenced a declaratory judgment action against Federal Insurance Company, RSUI Indemnity Company, and StarStone Specialty Insurance Company and others to recover insurance benefits. US WorldMeds Partners, LLC, RSUI and StarStone commenced similar declaratory judgment actions in connection with the Underlying Action. These related actions were recently consolidated. This case is in its early stages. Supernus awaits responsive pleadings to its Complaint. Discovery has not yet commenced in the consolidated action. An initial post consolidation court conference is scheduled for February 12, 2025.</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IX. Supernus Pharmaceuticals, Inc. v. Old Republic Insurance Company, 8:24-cv-03733-PJM) (D.Maryland)</w:t>
      </w:r>
    </w:p>
    <w:p>
      <w:pPr>
        <w:spacing w:after="0" w:line="20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action seeks recovery of insurance benefits in connection with the Underlying Action in the US WorldMeds Partners, LLC v Federal Insurance Company case. This case is in its early stages. Supernus awaits a responsive pleading to its Complaint. Discovery has not yet commenced.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Adamas Litigation</w:t>
      </w:r>
    </w:p>
    <w:p>
      <w:pPr>
        <w:spacing w:after="0" w:line="189" w:lineRule="exact"/>
        <w:rPr>
          <w:sz w:val="20"/>
          <w:szCs w:val="20"/>
          <w:color w:val="auto"/>
        </w:rPr>
      </w:pPr>
    </w:p>
    <w:p>
      <w:pPr>
        <w:ind w:firstLine="738"/>
        <w:spacing w:after="0" w:line="258" w:lineRule="auto"/>
        <w:rPr>
          <w:sz w:val="20"/>
          <w:szCs w:val="20"/>
          <w:color w:val="auto"/>
        </w:rPr>
      </w:pPr>
      <w:r>
        <w:rPr>
          <w:rFonts w:ascii="Times New Roman" w:cs="Times New Roman" w:eastAsia="Times New Roman" w:hAnsi="Times New Roman"/>
          <w:sz w:val="18"/>
          <w:szCs w:val="18"/>
          <w:color w:val="auto"/>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spacing w:after="0" w:line="156"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spacing w:after="0" w:line="14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spacing w:after="0" w:line="15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was heard by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On February 20, 2024, the plaintiff filed a motion for an indicative ruling and to set 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appeal is fully briefed, and the Ninth Circuit heard oral argument on November 21, 2024. On January 29, 2025, the Ninth Circuit affirmed the District Court’s order dismissing the litigation. The plaintiff intends to file a Petition for Panel and En Banc Rehearing and has asked the Ninth Circuit to extend his filing deadline until March 31, 2025.</w:t>
      </w:r>
    </w:p>
    <w:p>
      <w:pPr>
        <w:spacing w:after="0" w:line="16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On January 13, 2023, the Court granted in part and denied in part Defendants’ Motion to Dismiss. All claims against Adamas have been dismissed with prejudice, but claims against one of the individual defendants, who may have certain rights to indemnification, remain. On February 27, 2023, Plaintiffs advised the Court that Plaintiffs would proceed only on the remaining claim against one of the individual defendants. The individual defendant filed an answer denying the claim on April 28, 2023. On September 21, 2023, the parties reached an agreement in principle to settle the Zaidi litigation, subject to court approval. On October 31, 2023, the Court granted the parties' stipulation staying all proceedings and vacating all existing deadlines. On April 2, 2024, the Court preliminarily approved the settlement of the case, including a $4.7 million payment from insurers, subject to further consideration at a settlement hearing to be held in September 2024. On September 27, 2024, the Court granted final approval of the class action settlement, dismissed the lawsuit with prejudice, and final judgment was entered.</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Adamas believes it has strong factual and legal defenses to all actions and intends to defend itself vigorously.</w:t>
      </w:r>
    </w:p>
    <w:p>
      <w:pPr>
        <w:spacing w:after="0" w:line="18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and Shareholder Information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"SUPN" since May 1, 2012.</w:t>
      </w:r>
    </w:p>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December 31, 2024, the closing price of our common stock on the NASDAQ Global Market was $36.16 per share. As of December 31, 2024, we had 15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anticipate declaring or paying cash dividends on our capital stock in the foreseeable future. We currently intend to retain all of our future earnings, if any, to finance operations.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Company's total cumulative stockholder return as compared to the NASDAQ Stock Market Composite Index and the NASDAQ Biotechnology Index for the period beginning December 31, 2019, and ending December 31, 2024.</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stockholder return assumes $100 invested at the beginning of the period in the common stock of the Company, the stocks represented in the NASDAQ Composite Index and the NASDAQ Biotechnology Index, respectively. Total return assumes reinvestment of dividends; the Company has paid no dividends on its common stock. Historical price performance should not be relied upon as indicative of future stock performance.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97"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394335</wp:posOffset>
            </wp:positionV>
            <wp:extent cx="5554980" cy="4612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54980" cy="461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w:t>
      </w:r>
    </w:p>
    <w:p>
      <w:pPr>
        <w:spacing w:after="0" w:line="194"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12/31/2019 in stock or index, including reinvestment of dividends. Fiscal year ending December 31.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 Data</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Supernus</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14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Composite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90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Pharmaceuticals, Inc.</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Biotechnology Index</w:t>
            </w:r>
          </w:p>
        </w:tc>
        <w:tc>
          <w:tcPr>
            <w:tcW w:w="0" w:type="dxa"/>
            <w:vAlign w:val="bottom"/>
          </w:tcPr>
          <w:p>
            <w:pPr>
              <w:spacing w:after="0"/>
              <w:rPr>
                <w:sz w:val="1"/>
                <w:szCs w:val="1"/>
                <w:color w:val="auto"/>
              </w:rPr>
            </w:pPr>
          </w:p>
        </w:tc>
      </w:tr>
      <w:tr>
        <w:trPr>
          <w:trHeight w:val="22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223.87</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performance graph and related information shall not be deemed "soliciting material" or be "filed" with the SEC, nor shall such information be incorporated by reference into any future filing under the Securities Act or the Exchange Act, except to the extent that the Company specifically incorporates it by reference into such filing.</w:t>
      </w:r>
    </w:p>
    <w:p>
      <w:pPr>
        <w:spacing w:after="0" w:line="1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related notes thereto, appearing elsewhere in this Annual Report on Form 10-K. In addition to historical information, some of the information in this discussion and analysis contains forward-looking statements reflecting our current expectations and involving risk and uncertainties. For example, statements regarding our expectations as to our plans and strategy for our business, future financial performance, expense levels, and liquidity sources are forward-looking statements. Our actual results and the timing of those events could differ materially from those discussed in our forward-looking statements because of many factors, including those set forth under the "Risk Factors" section and elsewhere in this report.</w:t>
      </w:r>
    </w:p>
    <w:p>
      <w:pPr>
        <w:spacing w:after="0" w:line="12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We are a biopharmaceutical company focused on developing and commercializing products for the treatment of central nervous system (CNS) diseases. Our diverse neuroscience portfolio includes approved treatments for attention-deficit hyperactivity disorder (ADHD), dyskinesia in Parkinson's Disease (PD) patients receiving levodopa-based therapy, hypomobility in PD, epilepsy, migraine, cervical dystonia, and chronic sialorrhea. We are developing a broad range of novel CNS product candidates including new potential treatments for epilepsy, depression, and other CNS disorders.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portfolio of commercial products and product candidates.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Products</w:t>
      </w:r>
    </w:p>
    <w:p>
      <w:pPr>
        <w:spacing w:after="0" w:line="183" w:lineRule="exact"/>
        <w:rPr>
          <w:sz w:val="20"/>
          <w:szCs w:val="20"/>
          <w:color w:val="auto"/>
        </w:rPr>
      </w:pPr>
    </w:p>
    <w:p>
      <w:pPr>
        <w:ind w:left="660" w:right="20" w:hanging="328"/>
        <w:spacing w:after="0" w:line="24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 In January 2025, the FDA approved an expanded label update for Qelbree to include new data on the pharmacodynamics and use in breastfeeding mothers.</w:t>
      </w:r>
    </w:p>
    <w:p>
      <w:pPr>
        <w:spacing w:after="0" w:line="157" w:lineRule="exact"/>
        <w:rPr>
          <w:rFonts w:ascii="Times New Roman" w:cs="Times New Roman" w:eastAsia="Times New Roman" w:hAnsi="Times New Roman"/>
          <w:sz w:val="18"/>
          <w:szCs w:val="18"/>
          <w:color w:val="auto"/>
        </w:rPr>
      </w:pPr>
    </w:p>
    <w:p>
      <w:pPr>
        <w:jc w:val="both"/>
        <w:ind w:left="660" w:right="320" w:hanging="328"/>
        <w:spacing w:after="0" w:line="235"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spacing w:after="0" w:line="169" w:lineRule="exact"/>
        <w:rPr>
          <w:rFonts w:ascii="Times New Roman" w:cs="Times New Roman" w:eastAsia="Times New Roman" w:hAnsi="Times New Roman"/>
          <w:sz w:val="18"/>
          <w:szCs w:val="18"/>
          <w:color w:val="auto"/>
        </w:rPr>
      </w:pPr>
    </w:p>
    <w:p>
      <w:pPr>
        <w:ind w:left="660" w:right="200" w:hanging="328"/>
        <w:spacing w:after="0" w:line="23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(oxcarbazepine) is indicated as therapy for the treatment of partial onset seizures in patients 6 years of age and older. It is also the first once-daily extended-release oxcarbazepine product indicated for the treatment of epilepsy in the U.S. market.</w:t>
      </w:r>
    </w:p>
    <w:p>
      <w:pPr>
        <w:spacing w:after="0" w:line="155" w:lineRule="exact"/>
        <w:rPr>
          <w:rFonts w:ascii="Times New Roman" w:cs="Times New Roman" w:eastAsia="Times New Roman" w:hAnsi="Times New Roman"/>
          <w:sz w:val="18"/>
          <w:szCs w:val="18"/>
          <w:color w:val="auto"/>
        </w:rPr>
      </w:pPr>
    </w:p>
    <w:p>
      <w:pPr>
        <w:ind w:left="660" w:right="240" w:hanging="328"/>
        <w:spacing w:after="0" w:line="23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(apomorphine hydrochloride injection) is a product indicated for the acute, intermittent treatment of hypomobility, "OFF" episodes ("end-of-dose wearing off" and unpredictable "ON/OFF" episodes) in patients with advanced PD.</w:t>
      </w:r>
    </w:p>
    <w:p>
      <w:pPr>
        <w:spacing w:after="0" w:line="159" w:lineRule="exact"/>
        <w:rPr>
          <w:rFonts w:ascii="Times New Roman" w:cs="Times New Roman" w:eastAsia="Times New Roman" w:hAnsi="Times New Roman"/>
          <w:sz w:val="18"/>
          <w:szCs w:val="18"/>
          <w:color w:val="auto"/>
        </w:rPr>
      </w:pPr>
    </w:p>
    <w:p>
      <w:pPr>
        <w:ind w:left="660" w:hanging="328"/>
        <w:spacing w:after="0" w:line="229"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spacing w:after="0" w:line="167" w:lineRule="exact"/>
        <w:rPr>
          <w:rFonts w:ascii="Times New Roman" w:cs="Times New Roman" w:eastAsia="Times New Roman" w:hAnsi="Times New Roman"/>
          <w:sz w:val="18"/>
          <w:szCs w:val="18"/>
          <w:color w:val="auto"/>
        </w:rPr>
      </w:pPr>
    </w:p>
    <w:p>
      <w:pPr>
        <w:ind w:left="660" w:right="20" w:hanging="328"/>
        <w:spacing w:after="0" w:line="23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(safinamide) is a once-daily product indicated as adjunctive treatment to levodopa/carbidopa in patients with PD experiencing "OFF" episodes.</w:t>
      </w:r>
    </w:p>
    <w:p>
      <w:pPr>
        <w:spacing w:after="0" w:line="155" w:lineRule="exact"/>
        <w:rPr>
          <w:rFonts w:ascii="Times New Roman" w:cs="Times New Roman" w:eastAsia="Times New Roman" w:hAnsi="Times New Roman"/>
          <w:sz w:val="18"/>
          <w:szCs w:val="18"/>
          <w:color w:val="auto"/>
        </w:rPr>
      </w:pPr>
    </w:p>
    <w:p>
      <w:pPr>
        <w:ind w:left="660" w:right="180" w:hanging="328"/>
        <w:spacing w:after="0" w:line="23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(rimabotulinumtoxinB injection) is a product indicated for the treatment of cervical dystonia and chronic sialorrhea in adults. It is the only botulinum toxin type B available on the market.</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right="320" w:hanging="328"/>
        <w:spacing w:after="0" w:line="23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ONAPGO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(apomorphine hydrochloride) injection is the first and only subcutaneous apomorphine infusion device for the treatment of motor fluctuations in adults with advanced PD. ONAPGO was approved by the FDA in February 2025 and received an Orphan Drug Designation. ONAPGO will be launched in the second quarter of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committed to the development of innovative product candidates in neurology and psychiatry,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966460" cy="27774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646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SPN-817 represents a novel mechanism of action (MOA) for an anticonvulsant. SPN-817 is a novel synthetic form of 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20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SPN-820 is a first-in-class, orally active small molecule that increases the brain mechanistic target of rapamycin complex 1 (mTORC1) mediated synaptic function intracellularly. SPN-820 does not bind to or modulate any cell surface receptors and therefore is unlikely to have abuse potential given lack of binding to targets implicated in drug abuse. In addition, unlike leucine, it is not incorporated into proteins during protein synthesis, and therefore, it is more available at the target site in the brain than leucine.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SPN-443 – Novel stimulant for the treatment of ADHD/CNS</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completed a Phase 1 single dose study in healthy adults in 2024 following submission of an Investigational New Drug Application. The study was a first in human, pilot pharmacokinetic study of two oral formulations of SPN-443 in healthy adults. The primary objective of the study was to assess safety and tolerability. This molecule, along with its major metabolites, is an inhibitor of norepinephrine, dopamine and serotonin, also known as a triple reuptake inhibitor. Both formulations of SPN-443 showed adequate bioavailability and were well tolerated.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Qelbree Highlights</w:t>
      </w:r>
    </w:p>
    <w:p>
      <w:pPr>
        <w:spacing w:after="0" w:line="189" w:lineRule="exact"/>
        <w:rPr>
          <w:sz w:val="20"/>
          <w:szCs w:val="20"/>
          <w:color w:val="auto"/>
        </w:rPr>
      </w:pPr>
    </w:p>
    <w:p>
      <w:pPr>
        <w:jc w:val="both"/>
        <w:ind w:left="660" w:hanging="328"/>
        <w:spacing w:after="0" w:line="266" w:lineRule="auto"/>
        <w:tabs>
          <w:tab w:leader="none" w:pos="65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FDA has approved an update for the label for Qelbree to include new pharmacodynamic data. The updated label highlights Qelbree’s partial agonist activity at the serotonin 5-HT2C receptor and inhibition of the norepinephrine transporter, reinforcing its multimodal pharmacodynamic profile. Additionally, the updated label now includes new</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lactation data for breastfeeding women with attention-deficit/hyperactivity disorder (ADHD), showing that the transfer of Qelbree into breastmilk is low.</w:t>
      </w:r>
    </w:p>
    <w:p>
      <w:pPr>
        <w:spacing w:after="0" w:line="121" w:lineRule="exact"/>
        <w:rPr>
          <w:sz w:val="20"/>
          <w:szCs w:val="20"/>
          <w:color w:val="auto"/>
        </w:rPr>
      </w:pPr>
    </w:p>
    <w:p>
      <w:pPr>
        <w:jc w:val="both"/>
        <w:ind w:left="660" w:hanging="328"/>
        <w:spacing w:after="0" w:line="25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recently presented interim results from an open-label Phase IV trial with Qelbree in 161 adults with ADHD and mood symptoms at the 30th Annual National Psychopharmacology Update™ conference. The improvements in clinician and patient-rated measures of ADHD, depression and anxiety symptoms in the interim data analysis, analyzed for the first 95 patients who completed the trial, are encouraging and suggest that Qelbree's effects may extend to adults with complex ADHD. Efficacy and safety outcomes were consistent with the double-blind, pivotal trial of Qelbree in adult ADHD. Topline results from the full Phase IV trial (all 161 adults) are consistent with the interim results and will be presented at the American Psychiatric Association Annual Meeting in May 2025.</w:t>
      </w:r>
    </w:p>
    <w:p>
      <w:pPr>
        <w:spacing w:after="0" w:line="1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IQVIA prescriptions for Qelbree were 767,791 for full year 2024, an increase of 25% compared to full year 2023.</w:t>
      </w:r>
    </w:p>
    <w:p>
      <w:pPr>
        <w:spacing w:after="0" w:line="19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a two-plus year patent term extension from the US Patent and Trademark Office for US Patent number 9,662,338 that covers Qelbree. This extends the original expiration date of the patent to the year 2035.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 Update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ONAPGO (formerly SPN-830) (apomorphine infusion device) for treatment of Parkinson's disease (PD)</w:t>
      </w:r>
    </w:p>
    <w:p>
      <w:pPr>
        <w:spacing w:after="0" w:line="200" w:lineRule="exact"/>
        <w:rPr>
          <w:sz w:val="20"/>
          <w:szCs w:val="20"/>
          <w:color w:val="auto"/>
        </w:rPr>
      </w:pPr>
    </w:p>
    <w:p>
      <w:pPr>
        <w:jc w:val="both"/>
        <w:ind w:left="66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announced in early February 2025 that the FDA approved ONAPGO (apomorphine hydrochloride), formerly known as SPN-830, as the first and only subcutaneous apomorphine infusion device for the treatment of motor fluctuations in adults with advanced PD. ONAPGO will be launched in the second quarter of 2025 with a support team of experts, including a robust nurse education program, and access support.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 Novel first-in-class highly selective AChE inhibitor for epilepsy</w:t>
      </w:r>
    </w:p>
    <w:p>
      <w:pPr>
        <w:spacing w:after="0" w:line="187" w:lineRule="exact"/>
        <w:rPr>
          <w:sz w:val="20"/>
          <w:szCs w:val="20"/>
          <w:color w:val="auto"/>
        </w:rPr>
      </w:pPr>
    </w:p>
    <w:p>
      <w:pPr>
        <w:jc w:val="both"/>
        <w:ind w:left="660" w:hanging="328"/>
        <w:spacing w:after="0" w:line="26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Company reported topline results from an open label Phase 2a study in patients with treatment-resistant seizures. The study suggested a differentiated profile, with strong efficacy in focal seizures at the 3mg to 4mg twice daily doses. SPN-817 was safe and had acceptable tolerability with two subjects discontinuing because of treatment related adverse events out of the 26 subjects who entered the maintenance period.</w:t>
      </w:r>
    </w:p>
    <w:p>
      <w:pPr>
        <w:spacing w:after="0" w:line="1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initiated a Phase 2b randomized, double-blind, placebo-controlled study of 3mg and 4mg twice daily doses with a targeted enrollment of approximately 258 adult patients with treatment resistant focal seizures.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 Novel first-in-class molecule that increases mTORC1 mediated synaptic function for depression</w:t>
      </w:r>
    </w:p>
    <w:p>
      <w:pPr>
        <w:spacing w:after="0" w:line="187" w:lineRule="exact"/>
        <w:rPr>
          <w:sz w:val="20"/>
          <w:szCs w:val="20"/>
          <w:color w:val="auto"/>
        </w:rPr>
      </w:pPr>
    </w:p>
    <w:p>
      <w:pPr>
        <w:jc w:val="both"/>
        <w:ind w:left="660" w:hanging="328"/>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Company reported topline results from a randomized double-blind placebo-controlled Phase 2b study of SPN-820 in adults with treatment-resistant depression (TRD). The study did not demonstrate a statistically significant improvement on the primary and secondary endpoints. The safety profile of SPN-820 was consistent with previous clinical trials, showing few adverse events. The Company will continue to analyze the data and decide on the future of the program.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SPN-443 – Novel stimulant for ADHD/CNS</w:t>
      </w:r>
    </w:p>
    <w:p>
      <w:pPr>
        <w:spacing w:after="0" w:line="200" w:lineRule="exact"/>
        <w:rPr>
          <w:sz w:val="20"/>
          <w:szCs w:val="20"/>
          <w:color w:val="auto"/>
        </w:rPr>
      </w:pPr>
    </w:p>
    <w:p>
      <w:pPr>
        <w:ind w:left="660" w:hanging="328"/>
        <w:spacing w:after="0" w:line="271" w:lineRule="auto"/>
        <w:tabs>
          <w:tab w:leader="none" w:pos="63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 completed a Phase 1 pharmacokinetic study of two oral formulations in healthy adults. Both formulations of SPN-443 showed adequate bioavailability and were well tolerated.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18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significant accounting policies and basis of presentation for our consolidated financial statements are described in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Supplementary Data</w:t>
      </w:r>
      <w:r>
        <w:rPr>
          <w:rFonts w:ascii="Times New Roman" w:cs="Times New Roman" w:eastAsia="Times New Roman" w:hAnsi="Times New Roman"/>
          <w:sz w:val="18"/>
          <w:szCs w:val="18"/>
          <w:color w:val="auto"/>
        </w:rPr>
        <w:t>, Note 2,</w:t>
      </w:r>
      <w:r>
        <w:rPr>
          <w:rFonts w:ascii="Times New Roman" w:cs="Times New Roman" w:eastAsia="Times New Roman" w:hAnsi="Times New Roman"/>
          <w:sz w:val="18"/>
          <w:szCs w:val="18"/>
          <w:i w:val="1"/>
          <w:iCs w:val="1"/>
          <w:color w:val="auto"/>
        </w:rPr>
        <w:t xml:space="preserve"> Summary of Significant Accounting Policies, </w:t>
      </w:r>
      <w:r>
        <w:rPr>
          <w:rFonts w:ascii="Times New Roman" w:cs="Times New Roman" w:eastAsia="Times New Roman" w:hAnsi="Times New Roman"/>
          <w:sz w:val="18"/>
          <w:szCs w:val="18"/>
          <w:color w:val="auto"/>
        </w:rPr>
        <w:t>in the Notes to the Consolidated Financial Statements.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are prepared in accordance with U.S. generally accepted accounting principles (U.S. GAAP), requiring us to make estimates, judgments, and assumptions that affect the reported amounts of assets, liabilities, revenues, and expenses, and other related disclosures. Some judgments can be subjective and complex, and therefore, actual results could differ materially from those estimates under different assumptions or conditions.</w:t>
      </w:r>
    </w:p>
    <w:p>
      <w:pPr>
        <w:spacing w:after="0" w:line="15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believe the judgments, estimates, and assumptions associated with the following critical accounting policies have the greatest potential impact on our consolidated financial statements:</w:t>
      </w:r>
    </w:p>
    <w:p>
      <w:pPr>
        <w:spacing w:after="0" w:line="121"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Revenue recognition;</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Indefinite-Lived Intangible Assets;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Definite-Lived Intangible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principal source of revenue is product sales. Revenue from product sales is recognized when physical control of our products is transferred to our customers, who are primarily pharmaceutical wholesalers, specialty pharmacies, and distributors. Product sales are recorded net of various forms of variable consideration, including: estimated rebates; sales discounts; and an estimated liability for future product returns (collectively, "sales deductions").</w:t>
      </w:r>
    </w:p>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variability in the net transaction price for our products arises primarily from the aforementioned sales deductions. Significant judgment is required in estimating certain sales deductions, including rebates and returns. In making these estimates, we consider: historical experience; product price increases; current contractual arrangements under applicable payor programs; unbilled claims; processing time lags for claims; inventory levels in the wholesale, specialty pharmacy, and retail distribution channel; and product life cycle. We adjust our estimates at the earlier of when the most likely amount of consideration we expect to receive changes, or when the consideration becomes fixed. Variable consideration on product sales is only recognized when it is probable that a significant reversal will not occur. If actual results in the future vary from our estimates, we adjust our estimates in the period identified. These adjustments could materially affect net product sales and earnings in the period in which the adjustment(s) is recorded. Refer to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Note 2,</w:t>
      </w:r>
      <w:r>
        <w:rPr>
          <w:rFonts w:ascii="Times New Roman" w:cs="Times New Roman" w:eastAsia="Times New Roman" w:hAnsi="Times New Roman"/>
          <w:sz w:val="18"/>
          <w:szCs w:val="18"/>
          <w:i w:val="1"/>
          <w:iCs w:val="1"/>
          <w:color w:val="auto"/>
        </w:rPr>
        <w:t xml:space="preserve"> Summary of Significant Accounting Policies, </w:t>
      </w:r>
      <w:r>
        <w:rPr>
          <w:rFonts w:ascii="Times New Roman" w:cs="Times New Roman" w:eastAsia="Times New Roman" w:hAnsi="Times New Roman"/>
          <w:sz w:val="18"/>
          <w:szCs w:val="18"/>
          <w:color w:val="auto"/>
        </w:rPr>
        <w:t>in the Notes to the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discussion on each of the different sales deductions. While sales rebates have been relatively predictable based on historical experience such that there have not been material changes in estimates in prior periods, there have been critical estimates associated with rebates and returns that may result in significant variability as further discussed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20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maintain a return policy that allows our customers to return products within a specified period of time. Sales of our products are not subject to a general right of return; however, we will accept return of expired product 6 months prior to, and up to 12 months subsequent to, the product's expiry date for certain products. Our products have a shelf life of up to 48 months from date of manufacture. The product return accrual is estimated principally based on historical experience, the level and estimated shelf life of inventory in the distribution channel, changes in the current wholesaler prices, our return policy and expected market events, including generic competition. The time lag from date of sale of our products when we accrue our provision for product returns and the time at which we issue credit for expired product can occur up to several years after the sale of our product. Estimates associated with our provision for product returns are particularly susceptible to adjustment given the extensive time lag. The Company launched Qelbree in May 2021. The Company is actively monitoring returns activity in light of the timeline</w:t>
      </w:r>
    </w:p>
    <w:p>
      <w:pPr>
        <w:spacing w:after="0" w:line="1" w:lineRule="exact"/>
        <w:rPr>
          <w:sz w:val="20"/>
          <w:szCs w:val="20"/>
          <w:color w:val="auto"/>
        </w:rPr>
      </w:pPr>
    </w:p>
    <w:p>
      <w:pPr>
        <w:ind w:right="2300"/>
        <w:spacing w:after="0" w:line="265" w:lineRule="auto"/>
        <w:rPr>
          <w:sz w:val="20"/>
          <w:szCs w:val="20"/>
          <w:color w:val="auto"/>
        </w:rPr>
      </w:pPr>
      <w:r>
        <w:rPr>
          <w:rFonts w:ascii="Times New Roman" w:cs="Times New Roman" w:eastAsia="Times New Roman" w:hAnsi="Times New Roman"/>
          <w:sz w:val="17"/>
          <w:szCs w:val="17"/>
          <w:color w:val="auto"/>
        </w:rPr>
        <w:t>from the date of sale and the time at which we issue credit for expired products. We had favorable actual returns in 2024 for Qelbree and as a result, the Company changed its estimated provision for Qelbree product returns based on the most recent</w:t>
      </w:r>
    </w:p>
    <w:p>
      <w:pPr>
        <w:spacing w:after="0" w:line="252" w:lineRule="auto"/>
        <w:rPr>
          <w:sz w:val="20"/>
          <w:szCs w:val="20"/>
          <w:color w:val="auto"/>
        </w:rPr>
      </w:pPr>
      <w:r>
        <w:rPr>
          <w:rFonts w:ascii="Times New Roman" w:cs="Times New Roman" w:eastAsia="Times New Roman" w:hAnsi="Times New Roman"/>
          <w:sz w:val="18"/>
          <w:szCs w:val="18"/>
          <w:color w:val="auto"/>
        </w:rPr>
        <w:t>experience. The Company has entered into settlement and license agreements with third parties, permitting the sale of a generic version of Trokendi XR beginning in January 2023. In addition, the Company entered into settlement and license agreements with third parties, permitting the sale of a generic version of Oxtellar XR beginning in September 2024. The Company is actively monitoring returns activity in light of the loss of exclusivity and actual and possible further future sales decline based on timing of generic entry. The entry of a generic competitor may cause our future Trokendi XR and Oxtellar XR product return rates to change from historical trends, and this change could have a material effect on the future provision for product returns. Historically, we have experienced changes in estimates in return reserve calculations, but those adjustments have not been material to net earnings. However, given the extensive number of inputs and assumptions, described above, future changes in our return reserves could be material.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Rebates are discounts which we pay under either public sector or private sector health care programs. Rebates paid under public sector programs are generally mandated under law, whereas private sector rebates are generally contractually negotiated by us with managed care providers. Both types of rebates vary over time. Rebate amounts are typically based upon the volume of purchases using contractual or statutory prices, which may vary by product and by payer. For each type of rebate, the factors used in the calculations of the accruals for that rebate include the identification of the products subject to the rebate, applicable price terms and estimated lag time between sale and payment of the rebate, which can be significant. In order to establish the rebate accruals, we use both internal and external data to estimate the level of inventory in the distribution channel and the rebate claims processing lag time for each type of rebate. To estimate the rebate percentage or net price, we track sales by product and by customer or payer. We evaluate inventory data reported by wholesalers, available prescription volume information, product pricing, historical experience and other factors in order to determine the adequacy of our accruals. We regularly monitor our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accruals and record adjustments when rebate trends, rebate programs and contract terms, legislative changes, or other significant events indicate that a change in reserve is appropriate. Historically, adjustments to rebate accruals have not been material to net earnings.</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Specifically, a significant portion of rebates we pay are on state Medicaid programs. We participate in state Medicaid programs wherein the lag time from the date of sale of our product when we accrue for provision for rebates and the ultimate invoicing by the individual state Medicaid program can occur up to several quarters after the sale of our product. Because of the time lag for Medicaid, in any particular quarter, our adjustments may incorporate revisions of accruals for prior periods. Estimates associated with our participation in state Medicaid programs are particularly susceptible to adjustment given the extensive time lag. Historically, adjustments to rebate accruals have not been material to net earnings, but there continues to be an extensive time lag related to certain programs that could result in variability in future periods.</w:t>
      </w:r>
    </w:p>
    <w:p>
      <w:pPr>
        <w:spacing w:after="0" w:line="145" w:lineRule="exact"/>
        <w:rPr>
          <w:sz w:val="20"/>
          <w:szCs w:val="20"/>
          <w:color w:val="auto"/>
        </w:rPr>
      </w:pPr>
    </w:p>
    <w:p>
      <w:pPr>
        <w:ind w:right="6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 roll-forward of the accrued sales deductions, see the section entitled </w:t>
      </w:r>
      <w:r>
        <w:rPr>
          <w:rFonts w:ascii="Times New Roman" w:cs="Times New Roman" w:eastAsia="Times New Roman" w:hAnsi="Times New Roman"/>
          <w:sz w:val="18"/>
          <w:szCs w:val="18"/>
          <w:i w:val="1"/>
          <w:iCs w:val="1"/>
          <w:color w:val="auto"/>
        </w:rPr>
        <w:t>Results of Operations - Revenues - Sales deductions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accruals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Indefinite-Lived Intangible Assets</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2020, the Company acquired the right to further develop and commercialize SPN-830 (apomorphine infusion device), a late-stage product candidate (IPR&amp;D intangible asset). The In Process Research and Development (IPR&amp;D) intangible asset represents the estimate of the fair value of acquired technology which has not yet reached technological feasibility. The primary basis for determining the technological feasibility is obtaining specific regulatory approvals. IPR&amp;D is accounted for as an indefinite-lived intangible asset until completion or abandonment of the IPR&amp;D project. Upon completion of the development project, the IPR&amp;D will be amortized over its estimated useful life. We review intangible assets with indefinite lives for impairment annually or more often if impairment indicators are identified. Our annual evaluation is generally based on an assessment of qualitative factors to determine whether it is more likely than not the fair value of the asset is less than its carrying amount. If the Company is unable to conclude that the indefinite-lived intangible asset is not impaired during its qualitative assessment, the Company will perform a quantitative assessment by estimating the fair value of the indefinite-lived intangible asset and comparing the fair value to the carrying amount. The significant inputs and assumptions used to estimate the fair value of the IPR&amp;D intangible asset include: the timing and probability of success of clinical and regulatory approvals for the IPR&amp;D asset, the estimated future cash flows from product sales, and the timing and projection of costs and expenses. We believe that the timing and probability of success of clinical and regulatory approval for the IPR&amp;D asset is key and directly drives the timing and realization of the estimated future cashflows from product sales and the incurrence of costs and expenses. The drug regulatory approval process is inherently uncertain, lengthy, and difficult. The FDA has substantial discretion in the drug approval process, including the ability to delay, limit or deny approval of a product candidate for many reasons. In addition, the actual review and approval process time required may vary substantially based upon the type, complexity, and novelty of the product or disease. Any adverse action by the FDA can potentially impact our estimated fair value of the IPR&amp;D intangible asset.</w:t>
      </w:r>
    </w:p>
    <w:p>
      <w:pPr>
        <w:spacing w:after="0" w:line="15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considered the positive results of clinical trials, industry benchmarks, available market data, and recent communications with the FDA regarding SPN-830 in determining the probability of technical and regulatory success input and assumption. The carrying amount of the indefinite-lived intangible asset was $124.0 million as of December 31, 2024. Although we believe the assumptions, judgments, and estimates we have used in our assessments are reasonable and appropriate, a material change in any of our assumptions or external factors could have lead to impairment charges.</w:t>
      </w:r>
    </w:p>
    <w:p>
      <w:pPr>
        <w:spacing w:after="0" w:line="1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February 2025, ONAPGO (apomorphine hydrochloride) injection, formerly known as SPN-830, was approved by the FDA as the first and only subcutaneous apomorphine infusion device for the treatment of motor fluctuations in adults with advanced PD.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Definite-Lived Intangible Assets</w:t>
      </w:r>
    </w:p>
    <w:p>
      <w:pPr>
        <w:spacing w:after="0" w:line="18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Management assesses the potential impairment of our finite-lived intangibles whenever events or changes in circumstances indicate that the carrying value may not be recoverable. The carrying amount of the definite-lived intangible assets, net was $397.9 million as of December 31, 2024. Changes that could prompt such an assessment may include significant or adverse changes in the legal and regulatory environment, the introduction or advancement of competitive products and product candidates, changes in market demand, declining revenue and/or other events that indicate it is more likely than not that fair value is less than its carrying value. If a review of the definite-lived intangibles indicates that the carrying value of certain of these assets is more than the estimated undiscounted future cash flows, an impairment charge is made, as required, to adjust the carrying value to the estimated fair value. Evaluating for impairment requires judgment, including evaluating current economic and competitive circumstances, estimating future cash flows, future growth rates and future profitability. The primary inputs and assumptions used in the model included timing and projections of estimated future revenues and cash flows, loss of exclusivity, and discount rate. If the carrying amount of the asset exceeds its fair value, the Company writes down the asset to its estimated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fair value, and an impairment loss equal to the difference between the assets fair value and carrying value is recognized in the consolidated statement of earnings in the period at which such determination is made. The use of different assumptions could increase or decrease the estimated fair value of assets and could therefore affect any impairment measurement. The Company recognized impairment charges of $20.2 million in 2023 mainly due to the partial write-off of the carrying value of some of its acquired intangible assets, primarily XADAGO. The primary factors that led to the impairment determinations were the following: (1) the performance of the commercial products; (2) forthcoming loss of exclusivity of XADAGO in December 2027, or earlier under certain circumstances, due to settlement agreements with third party generic companies; and (3) the change in the Company's future outlook of the brands.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this section, we discuss the results of our operations for the year ended December 31, 2024, compared to the year ended December 31, 2023. Our Annual Report on Form 10-K for the year ended December 31, 2023, includes a discussion and analysis of our financial condition and results of operations for the year ended December 31, 2022, in </w:t>
      </w:r>
      <w:r>
        <w:rPr>
          <w:rFonts w:ascii="Times New Roman" w:cs="Times New Roman" w:eastAsia="Times New Roman" w:hAnsi="Times New Roman"/>
          <w:sz w:val="18"/>
          <w:szCs w:val="18"/>
          <w:i w:val="1"/>
          <w:iCs w:val="1"/>
          <w:color w:val="auto"/>
        </w:rPr>
        <w:t>Part II, Item 7—Management's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Revenues consist primarily of net product sales of our commercial products in the U.S., supplemented by royalty and licensing revenues from our collaborative licensing arrangements. The following table provides information regarding our revenues during the years ended December 31, 2024 and 2023 (dollars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15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GOCOVRI</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Oxtellar XR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APOKYN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Trokendi XR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180" w:hanging="172"/>
        <w:spacing w:after="0" w:line="212" w:lineRule="auto"/>
        <w:tabs>
          <w:tab w:leader="none" w:pos="18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0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product sales increased by $63.8 million from $573.9 million in 2023 to $637.7 million in 2024. The increase was primarily due to increases in net product sales from Qelbree and GOCOVRI partially offset by the decline in net product sales of Trokendi XR and Oxtellar XR due to generic erosion.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Deductions and Related Accruals</w:t>
      </w:r>
    </w:p>
    <w:p>
      <w:pPr>
        <w:spacing w:after="0" w:line="185" w:lineRule="exact"/>
        <w:rPr>
          <w:sz w:val="20"/>
          <w:szCs w:val="20"/>
          <w:color w:val="auto"/>
        </w:rPr>
      </w:pPr>
    </w:p>
    <w:p>
      <w:pPr>
        <w:jc w:val="both"/>
        <w:ind w:right="1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record accrued product returns and accrued product rebates as current liabilities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on our consolidated balance sheets. We record sales discounts as a reduction against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on the consolidated balance sheets. Both amounts are generally affected by changes in gross product sales, changes in the provision for net product sales deductions, and the timing of payments/credits.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a summary of activities with respect to accrued product returns and rebates for the years ended December 31, 2024 and 2023 (dollars in thousands):</w:t>
      </w: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Accrued Product Returns and Rebates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6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300" w:type="dxa"/>
            <w:vAlign w:val="bottom"/>
          </w:tcPr>
          <w:p>
            <w:pPr>
              <w:spacing w:after="0"/>
              <w:rPr>
                <w:sz w:val="19"/>
                <w:szCs w:val="19"/>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164,993</w:t>
            </w:r>
          </w:p>
        </w:tc>
        <w:tc>
          <w:tcPr>
            <w:tcW w:w="0" w:type="dxa"/>
            <w:vAlign w:val="bottom"/>
          </w:tcPr>
          <w:p>
            <w:pPr>
              <w:spacing w:after="0"/>
              <w:rPr>
                <w:sz w:val="1"/>
                <w:szCs w:val="1"/>
                <w:color w:val="auto"/>
              </w:rPr>
            </w:pPr>
          </w:p>
        </w:tc>
      </w:tr>
      <w:tr>
        <w:trPr>
          <w:trHeight w:val="229"/>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current year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477,108</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relating to prior year sales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provision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463,074</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(447,015)</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164,660</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current year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495,153</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relating to prior year sales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provision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496,643</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(417,674)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(496,310)</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Accrued Product Returns and Rebates</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accrued product returns balance decreased from $57.3 million as of December 31, 2023 to $53.4 million as of December 31, 2024. This decrease was primarily due to $11.9 million of adjustments in the estimated provision for product returns related to prior year sales offset by higher net product sales and timing of related return activity. The majority of the adjustment is attributable to Qelbree, reflecting favorable actual returns experienced in 2024. As a result, the Company changed its estimated provision for product returns based on the most recent experience.</w:t>
      </w:r>
    </w:p>
    <w:p>
      <w:pPr>
        <w:spacing w:after="0" w:line="13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accrued product rebates balance increased from $97.0 million as of December 31, 2023 to $115.3 million as of December 31, 2024 due to timing of payments associated with government programs.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 for Product Returns and Rebates</w:t>
      </w:r>
    </w:p>
    <w:p>
      <w:pPr>
        <w:spacing w:after="0" w:line="187"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product returns decreased from $22.7 million in 2023 to $5.7 million in 2024. The decrease was primarily due to the aforementioned $11.9 million of adjustments in the estimated provision for product returns related to prior year sales.</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product rebates decreased from $408.0 million in 2023 to $387.8 million in 2024. The decrease was primarily attributable to lower Trokendi XR sales and favorability in commercial programs, partially offset by higher Qelbree gross sales.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Discounts</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sales discounts increased from $65.9 million in 2023 to $69.5 million in 2024 primarily attributable to higher net product sales in 2024 compared to 2023.</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Adjustments related to prior year sales</w:t>
      </w:r>
    </w:p>
    <w:p>
      <w:pPr>
        <w:spacing w:after="0" w:line="20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Adjustments related to prior year sales in 2024 of $14.0 million was less than 3% of both net product sales and total provision for the year ended December 31, 2024. As aforementioned, the majority of this adjustment is attributable to Qelbree, reflecting favorable actual returns experienced in 2024 for Qelbree. Adjustments related to prior year sales in 2023 of $1.5 million was less than 1% of both net product sales and total provision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Licensing and Other Revenues</w:t>
      </w:r>
    </w:p>
    <w:p>
      <w:pPr>
        <w:spacing w:after="0" w:line="18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Royalty, licensing and other revenues decreased by $9.5 million from $33.6 million in 2023 to $24.1 million in 2024, primarily due to lower royalties on generic Trokendi XR due to the increased number of generic entrants.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cost of goods sold for the years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88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tcBorders>
              <w:top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(7)%</w:t>
            </w:r>
          </w:p>
        </w:tc>
      </w:tr>
    </w:tbl>
    <w:p>
      <w:pPr>
        <w:spacing w:after="0" w:line="25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royalties; cost of materials, including active pharmaceutical ingredients (API); and cost to manufacture, including tableting, packaging, personnel, overhead, stability testing, and distribution.</w:t>
      </w:r>
    </w:p>
    <w:p>
      <w:pPr>
        <w:spacing w:after="0" w:line="121"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Cost of goods sold decreased from $83.8 million in 2023 to $77.9 million in 2024. The decrease was primarily driven by manufacturing efficiencies of Qelbree and the decline in net product sales of Trokendi XR and Oxtellar XR due to generic erosion.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research and development (R&amp;D) expenses for the years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108,796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17,203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19%</w:t>
            </w: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R&amp;D expenses increased from $91.6 million in 2023 to $108.8 million in 2024. The increase was primarily due to increased clinical program costs on SPN-817, SPN-820, the open-label study of Qelbree, and increased manufacturing costs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right="500" w:firstLine="648"/>
        <w:spacing w:after="0" w:line="270" w:lineRule="auto"/>
        <w:rPr>
          <w:sz w:val="20"/>
          <w:szCs w:val="20"/>
          <w:color w:val="auto"/>
        </w:rPr>
      </w:pPr>
      <w:r>
        <w:rPr>
          <w:rFonts w:ascii="Times New Roman" w:cs="Times New Roman" w:eastAsia="Times New Roman" w:hAnsi="Times New Roman"/>
          <w:sz w:val="18"/>
          <w:szCs w:val="18"/>
          <w:color w:val="auto"/>
        </w:rPr>
        <w:t>The table below provides information regarding our selling, general, and administrative (SG&amp;A) expenses for the years indicated (dollars in thousands):</w:t>
      </w: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8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227,293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229,186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right="315"/>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107,175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center"/>
              <w:ind w:right="315"/>
              <w:spacing w:after="0"/>
              <w:rPr>
                <w:sz w:val="20"/>
                <w:szCs w:val="20"/>
                <w:color w:val="auto"/>
              </w:rPr>
            </w:pPr>
            <w:r>
              <w:rPr>
                <w:rFonts w:ascii="Times New Roman" w:cs="Times New Roman" w:eastAsia="Times New Roman" w:hAnsi="Times New Roman"/>
                <w:sz w:val="18"/>
                <w:szCs w:val="18"/>
                <w:color w:val="auto"/>
                <w:w w:val="97"/>
              </w:rPr>
              <w:t>(12)%</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321,582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336,361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315"/>
              <w:spacing w:after="0"/>
              <w:rPr>
                <w:sz w:val="20"/>
                <w:szCs w:val="20"/>
                <w:color w:val="auto"/>
              </w:rPr>
            </w:pPr>
            <w:r>
              <w:rPr>
                <w:rFonts w:ascii="Times New Roman" w:cs="Times New Roman" w:eastAsia="Times New Roman" w:hAnsi="Times New Roman"/>
                <w:sz w:val="18"/>
                <w:szCs w:val="18"/>
                <w:color w:val="auto"/>
                <w:w w:val="99"/>
              </w:rPr>
              <w:t>(4)%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from $336.4 million in 2023 to $321.6 million in 2024. During the year ended December 31, 2024, the Company recorded approximately $14.2 million of insurance recoveries for certain legal costs. Legal costs were recorded under general and administrative expense as incurred. Correspondingly, the insurance recoveries were recorded as a reduction to general and administrative expenses. There were no insurance recoveries recorded in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89" w:lineRule="exact"/>
        <w:rPr>
          <w:sz w:val="20"/>
          <w:szCs w:val="20"/>
          <w:color w:val="auto"/>
        </w:rPr>
      </w:pPr>
    </w:p>
    <w:p>
      <w:pPr>
        <w:ind w:right="70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regarding the amortization expense for intangible assets during the periods indicated (dollars in thousands):</w:t>
      </w: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r>
      <w:tr>
        <w:trPr>
          <w:trHeight w:val="23"/>
        </w:trPr>
        <w:tc>
          <w:tcPr>
            <w:tcW w:w="4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(5)%</w:t>
            </w:r>
          </w:p>
        </w:tc>
      </w:tr>
      <w:tr>
        <w:trPr>
          <w:trHeight w:val="904"/>
        </w:trPr>
        <w:tc>
          <w:tcPr>
            <w:tcW w:w="4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Amortization of intangible decreased from $82.4 million in 2023 to $78.0 million in 2024. The decrease is primarily due to impairment charges on certain acquired intangible assets in the fourth quarter of 2023 which reduced amortization expense in fiscal year 2024, as well as on Oxtellar XR, which was fully amortized as of September 2024 and therefore, no further amortization expense was recognized in the fourth quarter of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Impairment Charges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intangible asset impairment charges during the periods indicated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90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tcPr>
          <w:p>
            <w:pPr>
              <w:spacing w:after="0"/>
              <w:rPr>
                <w:sz w:val="16"/>
                <w:szCs w:val="16"/>
                <w:color w:val="auto"/>
              </w:rPr>
            </w:pPr>
          </w:p>
        </w:tc>
      </w:tr>
      <w:tr>
        <w:trPr>
          <w:trHeight w:val="23"/>
        </w:trPr>
        <w:tc>
          <w:tcPr>
            <w:tcW w:w="40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impairment charges</w:t>
            </w:r>
          </w:p>
        </w:tc>
        <w:tc>
          <w:tcPr>
            <w:tcW w:w="1220" w:type="dxa"/>
            <w:vAlign w:val="bottom"/>
            <w:tcBorders>
              <w:top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recognized impairment charges of $20.2 million mainly due to the partial write-off of the carrying value of some of its acquired intangible assets, primarily XADAGO. The primary factors that led to the impairment determinations were the following: (1) the performance of the commercial products; (2) forthcoming loss of exclusivity of XADAGO; and (3) the change in the Company's future outlook of the brands. No impairment of intangible assets was recognized during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Gain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contingent consideration gain during the periods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90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r>
      <w:tr>
        <w:trPr>
          <w:trHeight w:val="23"/>
        </w:trPr>
        <w:tc>
          <w:tcPr>
            <w:tcW w:w="4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0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gain</w:t>
            </w: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303%</w:t>
            </w:r>
          </w:p>
        </w:tc>
      </w:tr>
    </w:tbl>
    <w:p>
      <w:pPr>
        <w:spacing w:after="0" w:line="252"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Contingent consideration was a gain for the years ended December 31, 2024 and December 31, 2023 of $6.1 million and $1.5 million, respectively. The change of $4.6 million was primarily driven by the non achievement of the 2024 sales-based milestone associated with the Adamas Acquisition.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components of other income (expense) during the years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90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&amp; other income, net</w:t>
            </w: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ind w:right="293"/>
              <w:spacing w:after="0"/>
              <w:rPr>
                <w:sz w:val="20"/>
                <w:szCs w:val="20"/>
                <w:color w:val="auto"/>
              </w:rPr>
            </w:pPr>
            <w:r>
              <w:rPr>
                <w:rFonts w:ascii="Times New Roman" w:cs="Times New Roman" w:eastAsia="Times New Roman" w:hAnsi="Times New Roman"/>
                <w:sz w:val="18"/>
                <w:szCs w:val="18"/>
                <w:color w:val="auto"/>
                <w:w w:val="96"/>
              </w:rPr>
              <w:t>55%</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w w:val="99"/>
              </w:rPr>
              <w:t>(100)%</w:t>
            </w:r>
          </w:p>
        </w:tc>
      </w:tr>
      <w:tr>
        <w:trPr>
          <w:trHeight w:val="184"/>
        </w:trPr>
        <w:tc>
          <w:tcPr>
            <w:tcW w:w="4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Noncash interest expense on nonrecourse liability</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sale of future royalties</w:t>
            </w:r>
          </w:p>
        </w:tc>
        <w:tc>
          <w:tcPr>
            <w:tcW w:w="10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right="313"/>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debt</w:t>
            </w:r>
          </w:p>
        </w:tc>
        <w:tc>
          <w:tcPr>
            <w:tcW w:w="10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46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jc w:val="center"/>
              <w:ind w:right="313"/>
              <w:spacing w:after="0"/>
              <w:rPr>
                <w:sz w:val="20"/>
                <w:szCs w:val="20"/>
                <w:color w:val="auto"/>
              </w:rPr>
            </w:pPr>
            <w:r>
              <w:rPr>
                <w:rFonts w:ascii="Times New Roman" w:cs="Times New Roman" w:eastAsia="Times New Roman" w:hAnsi="Times New Roman"/>
                <w:sz w:val="18"/>
                <w:szCs w:val="18"/>
                <w:color w:val="auto"/>
                <w:w w:val="99"/>
              </w:rPr>
              <w:t>102%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was an income of $16.2 million in 2024 compared to an income of $8.0 million in 2023. The increase was due to higher interest income on marketable securities largely driven by an overall higher investment balance in 2024 and no debt outstanding in 2024. The interest expense recognized in 2023 was related to the 2023 Notes which were paid off in April 2023.</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income tax expense during the periods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3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28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24,005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22,552</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calculation result is equal to or greater than 100%</w:t>
      </w:r>
    </w:p>
    <w:p>
      <w:pPr>
        <w:spacing w:after="0" w:line="176"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Income tax expense was $24.0 million and $1.5 million for the years ended December 31, 2024 and December 31, 2023, respectively. The 2024 income tax expense is primarily driven by an increase in pre-tax book income as compared to prior year. The effective tax rate is impacted by benefits from research and development credits and capital losses that were mostly offset by an increase in the deferred tax asset valuation allowance for net operating losses and investments during the year. The 2023 income tax expense and effective tax rate was primarily driven by near break even pre-tax book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net earnings during the periods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94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40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73,865</w:t>
            </w:r>
          </w:p>
        </w:tc>
        <w:tc>
          <w:tcPr>
            <w:tcW w:w="12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5,513%</w:t>
            </w:r>
          </w:p>
        </w:tc>
      </w:tr>
    </w:tbl>
    <w:p>
      <w:pPr>
        <w:spacing w:after="0" w:line="252"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increase in net earnings was primarily due to the higher revenues in 2024 from Qelbree and GOCOVRI and lower total costs and expenses in 2024, as well as no intangible asset impairment charge in fiscal year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major sources and uses of cash for the periods set forth below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3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8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171,951</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60,866</w:t>
            </w: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(189,867)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(458,596)</w:t>
            </w:r>
          </w:p>
        </w:tc>
      </w:tr>
      <w:tr>
        <w:trPr>
          <w:trHeight w:val="230"/>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410,073</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$172.0 million in 2024 compared to $111.1 million in 2023. The increase in cash flows provided by operating activities was primarily due to higher net income for the year ended December 31, 2024 compared to the same period in prior year, and changes in working capital which reflects the timing impacts of cash collections on receivables and settlement of payables.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$189.9 million in 2024 compared to $268.7 million provided by investing activities in 2023. The change was primarily due to an increase in cash outflows from purchases of marketable securities, partially offset by higher cash inflows from the maturities of marketable securities. In 2023, proceeds from the maturities of investments in marketable securities were used to pay off the 2023 Notes.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$12.2 million in 2024 compared to $397.9 million used in the same period in 2023. The change was primarily due to the payment of the total principal amounts and remaining outstanding interest due on</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0.625% Convertible Senior Notes in April 2023, partially offset by an increase in proceeds from issuance of common stock in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and marketable securities are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6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69,331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75,054</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9"/>
                <w:szCs w:val="19"/>
                <w:color w:val="auto"/>
              </w:rPr>
            </w:pP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384,281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179,820</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w:t>
            </w:r>
          </w:p>
        </w:tc>
      </w:tr>
      <w:tr>
        <w:trPr>
          <w:trHeight w:val="223"/>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453,612</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271,491</w:t>
            </w:r>
          </w:p>
        </w:tc>
      </w:tr>
      <w:tr>
        <w:trPr>
          <w:trHeight w:val="21"/>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continued market and payor pressures for our commercial products; the unfavorable impact of the loss of patent exclusivity for Trokendi XR in January 2023 and Oxtellar XR in September 2024; the potential unfavorable impact of the forthcoming loss of exclusivity of XADAGO; funding for research and development of our product candidates; and the additional funding to launch ONAPGO (apomorphine hydrochloride) injection, formerly known as SPN-830, which was approved by the FDA in February 2025. ONAPGO will be launched in the second quarter of 2025.</w:t>
      </w:r>
    </w:p>
    <w:p>
      <w:pPr>
        <w:spacing w:after="0" w:line="165"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its balances of cash, cash equivalents and unrestricted marketable securities, which totaled $453.6 million as of December 31, 2024, along with cash generated from ongoing operations and continued access to debt markets, will be sufficient to satisfy its cash requirements over the next twelve months and beyond.</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and other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operating lease commitments include leases of fleet vehicles, leases of certain facilities, including the lease of the current headquarters office and laboratory space. As of December 31, 2024, we have fixed lease payment obligations of $40.0 million, with $8.2 million payable within twelve months. Refer to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the Consolidated Financial Statements in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 xml:space="preserve"> of this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October 2021, we entered into an amendment to the Merz Agreement which increased the price of the annual purchase commitment of MYOBLOC from €3.0 million to approximately €3.9 million. For further discussion on the embedded operating lease related to the Merz Agreement, refer to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the Consolidated Financial Statements in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 xml:space="preserve"> of this report.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 Obligations from Acquisitions</w:t>
      </w:r>
    </w:p>
    <w:p>
      <w:pPr>
        <w:spacing w:after="0" w:line="20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Company has contingent consideration milestones payable related to the Adamas Acquisition. As of December 31, 2024, the remaining Milestone Payment is payable (subject to certain terms and conditions) upon the first occurrence of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achievement of aggregate worldwide net sales of GOCOVRI in excess of $225 million during any consecutive twelve-month period ending on or before December 31, 2025 (Milestone 2025) and may only be achieved once.</w:t>
      </w:r>
    </w:p>
    <w:p>
      <w:pPr>
        <w:spacing w:after="0" w:line="1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possible outcomes for the contingent consideration range, on an undiscounted basis, related to remaining 2025 Milestone is from $0 to $25 million.</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also have contingent consideration milestones payable related to the USWM Acquisition. On February 18, 2022, the FDA accepted the SPN-830 NDA for review, and we paid the resulting $25 million milestone in the first quarter of 2022. In addition, there are two other regulatory and developmental contingent consideration milestone payments: the first is a $25 million milestone due upon the FDA's regulatory approval and $30 million upon commercial launch of SPN-830. In February 2025, the FDA approved ONAPGO (apomorphine hydrochloride) injection, formerly known as SPN-830, as the first and only subcutaneous apomorphine infusion device for the treatment of motor fluctuations in adults with advanced PD. ONAPGO will be launched in the second quarter of 2025. As such, the Company paid the milestone related to the FDA's approval of the SPN-830 NDA in February 2025. We expect the remaining regulatory and developmental milestones to become due and be paid in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Navitor Development Agreement</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obligations from the Development Agreement with Navitor Inc. we entered into in April 2020. The Company can terminate the Development Agreement upon 30 days' notice. Under the terms of the Development Agreement, the Company and Navitor Inc. will jointly conduct a Phase 2 clinical program for NV-5138 (SPN-820) for treatment-resistant depression. The Company will bear all of Phase 1 and Phase 2 development costs incurred by either party, up to a maximum of $50 million. There are certain additional payments which could be incurred by the Company that are contingent upon Navitor Inc. achieving defined milestones. These milestone payments include an additional license or acquisition fee depending on whether the Company ultimately licenses or acquires NV-5138, and subsequent clinical, regulatory and sales milestone payments. The Company has an option to acquire or license NV-5138 (SPN-820), for which additional payments would be required. In the second quarter of 2024, the Company consented to payment of additional Phase II development costs for NV-5138 (SPN-820) as they are incurred, but reserves the right to terminate payment of future development costs at its discretion.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Payments</w:t>
      </w:r>
    </w:p>
    <w:p>
      <w:pPr>
        <w:spacing w:after="0" w:line="20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obtained exclusive licenses from third parties for proprietary rights to support our commercial products and product candidates. We are obligated to pay royalties to third parties, computed as a percentage of net product sales, for each respective product under a license agreement, beginning upon commercialization. The amount of future royalty obligations are dependent on future net product sales of each of the respective products under a license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have other obligations in which the timing, likelihood and, in some situations, the amount of such payments are not known, which include the following:</w:t>
      </w:r>
    </w:p>
    <w:p>
      <w:pPr>
        <w:spacing w:after="0" w:line="135" w:lineRule="exact"/>
        <w:rPr>
          <w:sz w:val="20"/>
          <w:szCs w:val="20"/>
          <w:color w:val="auto"/>
        </w:rPr>
      </w:pPr>
    </w:p>
    <w:p>
      <w:pPr>
        <w:ind w:right="320" w:firstLine="332"/>
        <w:spacing w:after="0" w:line="282" w:lineRule="auto"/>
        <w:tabs>
          <w:tab w:leader="none" w:pos="6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milestone payments which may become payable to third parties under license agreements or contractual agreements regarding our clinical trials, or those which may become payable upon achieving sales, regulatory, and developmental milestones per contractual agreements.</w:t>
      </w:r>
    </w:p>
    <w:p>
      <w:pPr>
        <w:spacing w:after="0" w:line="121" w:lineRule="exact"/>
        <w:rPr>
          <w:rFonts w:ascii="Times New Roman" w:cs="Times New Roman" w:eastAsia="Times New Roman" w:hAnsi="Times New Roman"/>
          <w:sz w:val="18"/>
          <w:szCs w:val="18"/>
          <w:color w:val="auto"/>
        </w:rPr>
      </w:pPr>
    </w:p>
    <w:p>
      <w:pPr>
        <w:jc w:val="both"/>
        <w:ind w:right="200" w:firstLine="332"/>
        <w:spacing w:after="0" w:line="266" w:lineRule="auto"/>
        <w:tabs>
          <w:tab w:leader="none" w:pos="6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related to uncertain tax positions. Due to uncertainties in the timing of potential tax audits, the timing and the amounts associated with the resolution of these positions is uncertain. As such, we are unable to make a reasonably reliable estimate regarding the timing of payments beyond 12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7"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new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Consolidated Financial Statements in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 xml:space="preserve"> of this report.</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and marketable securities. As of December 31, 2024, we had unrestricted cash and cash equivalents and marketable securities of $453.6 million.</w:t>
      </w:r>
    </w:p>
    <w:p>
      <w:pPr>
        <w:spacing w:after="0" w:line="13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fully repaid the outstanding principal and interest on the 2023 Notes in April 2023. We borrowed funds pursuant to our Credit Line in connection with the payment of the 2023 Notes. We fully repaid the outstanding debt under the Credit Line in June 2023. In the future, we may borrow funds under the Credit Line. Variable rate borrowing, which may occur under the Credit Line, exposes us to interest rate risk as increases in interest rates would increase our borrowing costs.</w:t>
      </w:r>
    </w:p>
    <w:p>
      <w:pPr>
        <w:spacing w:after="0" w:line="1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spacing w:after="0" w:line="14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may contract with clinical research organizations (CROs) and investigational sites globally. Currently, we have ongoing clinical trials being conducted outside the U.S. We do not hedge our foreign currency exchange rate risk. Transactions denominated in currencies other than the U.S. dollar are recorded based on exchange rates at the time such transactions arise. As of December 31, 2024, and December 31, 2023, substantially all of our liabilities were denominated in the U.S. dollar.</w:t>
      </w:r>
    </w:p>
    <w:p>
      <w:pPr>
        <w:spacing w:after="0" w:line="15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the cost of services provided by our vendors. We do not believe that inflation and changing prices over the years ended December 31, 2024, and 2023 had a significant impact on our consolidated results of operations. While we expect significant year-to-year variability in labor and vendor service costs due to uncontrollable inflation factors like natural disasters, geopolitical conflicts, and government regulations, we strive to mitigate future price risks. We do this by forming strong partnerships with key suppliers and our CMOs, and by directly managing the procurement and supply levels of key raw materials for our commercial products. However, these efforts may not fully protect us from cost increases, which could adversely impact our profitability.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1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31"/>
        </w:trPr>
        <w:tc>
          <w:tcPr>
            <w:tcW w:w="110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40" w:type="dxa"/>
            <w:vAlign w:val="bottom"/>
            <w:gridSpan w:val="3"/>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9"/>
              </w:rPr>
              <w:t>Supernus Pharmaceuticals, Inc.</w:t>
            </w:r>
          </w:p>
        </w:tc>
        <w:tc>
          <w:tcPr>
            <w:tcW w:w="1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180" w:type="dxa"/>
            <w:vAlign w:val="bottom"/>
            <w:gridSpan w:val="4"/>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80" w:type="dxa"/>
            <w:vAlign w:val="bottom"/>
          </w:tcPr>
          <w:p>
            <w:pPr>
              <w:spacing w:after="0"/>
              <w:rPr>
                <w:sz w:val="20"/>
                <w:szCs w:val="20"/>
                <w:color w:val="auto"/>
              </w:rPr>
            </w:pPr>
          </w:p>
        </w:tc>
      </w:tr>
      <w:tr>
        <w:trPr>
          <w:trHeight w:val="729"/>
        </w:trPr>
        <w:tc>
          <w:tcPr>
            <w:tcW w:w="20" w:type="dxa"/>
            <w:vAlign w:val="bottom"/>
          </w:tcPr>
          <w:p>
            <w:pPr>
              <w:spacing w:after="0"/>
              <w:rPr>
                <w:sz w:val="24"/>
                <w:szCs w:val="24"/>
                <w:color w:val="auto"/>
              </w:rPr>
            </w:pPr>
          </w:p>
        </w:tc>
        <w:tc>
          <w:tcPr>
            <w:tcW w:w="110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(PCAOB ID </w:t>
            </w:r>
            <w:r>
              <w:rPr>
                <w:rFonts w:ascii="Times New Roman" w:cs="Times New Roman" w:eastAsia="Times New Roman" w:hAnsi="Times New Roman"/>
                <w:sz w:val="18"/>
                <w:szCs w:val="18"/>
                <w:color w:val="0000EE"/>
              </w:rPr>
              <w:t>185</w:t>
            </w:r>
            <w:r>
              <w:rPr>
                <w:rFonts w:ascii="Times New Roman" w:cs="Times New Roman" w:eastAsia="Times New Roman" w:hAnsi="Times New Roman"/>
                <w:sz w:val="18"/>
                <w:szCs w:val="18"/>
                <w:u w:val="single" w:color="auto"/>
                <w:color w:val="0000FF"/>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180" w:type="dxa"/>
            <w:vAlign w:val="bottom"/>
            <w:tcBorders>
              <w:top w:val="single" w:sz="8" w:color="0000FF"/>
            </w:tcBorders>
            <w:gridSpan w:val="6"/>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9"/>
        </w:trPr>
        <w:tc>
          <w:tcPr>
            <w:tcW w:w="20" w:type="dxa"/>
            <w:vAlign w:val="bottom"/>
          </w:tcPr>
          <w:p>
            <w:pPr>
              <w:spacing w:after="0"/>
              <w:rPr>
                <w:sz w:val="18"/>
                <w:szCs w:val="18"/>
                <w:color w:val="auto"/>
              </w:rPr>
            </w:pPr>
          </w:p>
        </w:tc>
        <w:tc>
          <w:tcPr>
            <w:tcW w:w="110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r>
      <w:tr>
        <w:trPr>
          <w:trHeight w:val="20"/>
        </w:trPr>
        <w:tc>
          <w:tcPr>
            <w:tcW w:w="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w:t>
            </w:r>
          </w:p>
        </w:tc>
        <w:tc>
          <w:tcPr>
            <w:tcW w:w="6640" w:type="dxa"/>
            <w:vAlign w:val="bottom"/>
            <w:gridSpan w:val="3"/>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140" w:type="dxa"/>
            <w:vAlign w:val="bottom"/>
            <w:gridSpan w:val="6"/>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860" w:type="dxa"/>
            <w:vAlign w:val="bottom"/>
            <w:gridSpan w:val="5"/>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0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Supernus Pharmaceuticals, Inc. and subsidiaries (the Company) as of December 31, 2024 and 2023, the related consolidated statements of earnings, comprehensive earnings, changes in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2025 expressed an unqualified opinion on the effectiveness of the Company's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sales deductions related to product returns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disclosed in Notes 2 and 14 to the consolidated financial statements, the Company recorded accrued product returns of $53,375 (dollars in thousands) as of December 31, 2024. The related provision for product returns is reflected as a reduction of gross product sales, and is recorded at the time of sale when the customer takes title to the product. Sale of the Company’s products are not subject to a general right of return; however, the Company will accept return of expired product six months prior to and up to 12 months subsequent to the product’s expiry date for certain products. The Company's products have a shelf life of up to 48 months from date of manufacture.</w:t>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accrued sales deductions related to Trokendi XR, Oxtellar XR and Qelbree product returns, and specifically the assessment of the expected long-term return rates, as a critical audit matter. The assessment of the expected long-term return rates included a comparison to actual returns experience and involved a high degree of auditor judgment due to the significant passage of time between product sale and the time at which the Company issues credit for expired product.</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accrued sales deductions process. This included a control over the expected long-term return rate assumptions used in estimating the accrued product returns. We assessed the Company's long-term return rate assumptions by evaluating the consistency of those assumptions with the trend of actual historical return rates. We compared prior period expected long-term return rate assumptions against actual return rates experience.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Supernus Pharmaceuticals, Inc. and subsidiaries'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4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earnings, comprehensive earnings, changes in stockholders’ equity, and cash flows for each of the years in the three-year period ended December 31, 2024, and the related notes (collectively, the consolidated financial statements), and our report dated February 25, 2025 expressed an unqualified opinion on those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75,054</w:t>
            </w:r>
          </w:p>
        </w:tc>
      </w:tr>
      <w:tr>
        <w:trPr>
          <w:trHeight w:val="230"/>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179,820</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144,155</w:t>
            </w:r>
          </w:p>
        </w:tc>
      </w:tr>
      <w:tr>
        <w:trPr>
          <w:trHeight w:val="230"/>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77,408</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16,676</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493,113</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w:t>
            </w:r>
          </w:p>
        </w:tc>
      </w:tr>
      <w:tr>
        <w:trPr>
          <w:trHeight w:val="229"/>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w:t>
            </w:r>
          </w:p>
        </w:tc>
      </w:tr>
      <w:tr>
        <w:trPr>
          <w:trHeight w:val="230"/>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599,889</w:t>
            </w:r>
          </w:p>
        </w:tc>
      </w:tr>
      <w:tr>
        <w:trPr>
          <w:trHeight w:val="229"/>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117,019</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37,505</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1,368,073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1,277,673</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76,352</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79,569</w:t>
            </w:r>
          </w:p>
        </w:tc>
      </w:tr>
      <w:tr>
        <w:trPr>
          <w:trHeight w:val="230"/>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154,274</w:t>
            </w:r>
          </w:p>
        </w:tc>
      </w:tr>
      <w:tr>
        <w:trPr>
          <w:trHeight w:val="230"/>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52,070</w:t>
            </w:r>
          </w:p>
        </w:tc>
      </w:tr>
      <w:tr>
        <w:trPr>
          <w:trHeight w:val="230"/>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292,397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290,196</w:t>
            </w:r>
          </w:p>
        </w:tc>
      </w:tr>
      <w:tr>
        <w:trPr>
          <w:trHeight w:val="230"/>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long-term</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30"/>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33,196</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24,963</w:t>
            </w:r>
          </w:p>
        </w:tc>
      </w:tr>
      <w:tr>
        <w:trPr>
          <w:trHeight w:val="230"/>
        </w:trPr>
        <w:tc>
          <w:tcPr>
            <w:tcW w:w="8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356,157</w:t>
            </w:r>
          </w:p>
        </w:tc>
      </w:tr>
      <w:tr>
        <w:trPr>
          <w:trHeight w:val="237"/>
        </w:trPr>
        <w:tc>
          <w:tcPr>
            <w:tcW w:w="8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6"/>
        </w:trPr>
        <w:tc>
          <w:tcPr>
            <w:tcW w:w="8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84"/>
        </w:trPr>
        <w:tc>
          <w:tcPr>
            <w:tcW w:w="85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Common stock, $0.001 par value; 130,000,000 shares authorized; 55,743,095 and 54,723,356 shares issued and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 respectively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439,493</w:t>
            </w:r>
          </w:p>
        </w:tc>
      </w:tr>
      <w:tr>
        <w:trPr>
          <w:trHeight w:val="230"/>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482,561</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921,516</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1,277,673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637,696</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649,432</w:t>
            </w:r>
          </w:p>
        </w:tc>
      </w:tr>
      <w:tr>
        <w:trPr>
          <w:trHeight w:val="229"/>
        </w:trPr>
        <w:tc>
          <w:tcPr>
            <w:tcW w:w="40" w:type="dxa"/>
            <w:vAlign w:val="bottom"/>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r>
      <w:tr>
        <w:trPr>
          <w:trHeight w:val="223"/>
        </w:trPr>
        <w:tc>
          <w:tcPr>
            <w:tcW w:w="40" w:type="dxa"/>
            <w:vAlign w:val="bottom"/>
          </w:tcPr>
          <w:p>
            <w:pPr>
              <w:spacing w:after="0"/>
              <w:rPr>
                <w:sz w:val="19"/>
                <w:szCs w:val="19"/>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661,817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667,238</w:t>
            </w:r>
          </w:p>
        </w:tc>
      </w:tr>
      <w:tr>
        <w:trPr>
          <w:trHeight w:val="250"/>
        </w:trPr>
        <w:tc>
          <w:tcPr>
            <w:tcW w:w="40" w:type="dxa"/>
            <w:vAlign w:val="bottom"/>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4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Cost of goods sold</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87,221</w:t>
            </w:r>
          </w:p>
        </w:tc>
      </w:tr>
      <w:tr>
        <w:trPr>
          <w:trHeight w:val="229"/>
        </w:trPr>
        <w:tc>
          <w:tcPr>
            <w:tcW w:w="4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74,552</w:t>
            </w:r>
          </w:p>
        </w:tc>
      </w:tr>
      <w:tr>
        <w:trPr>
          <w:trHeight w:val="229"/>
        </w:trPr>
        <w:tc>
          <w:tcPr>
            <w:tcW w:w="40" w:type="dxa"/>
            <w:vAlign w:val="bottom"/>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321,582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377,221</w:t>
            </w:r>
          </w:p>
        </w:tc>
      </w:tr>
      <w:tr>
        <w:trPr>
          <w:trHeight w:val="230"/>
        </w:trPr>
        <w:tc>
          <w:tcPr>
            <w:tcW w:w="4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82,630</w:t>
            </w:r>
          </w:p>
        </w:tc>
      </w:tr>
      <w:tr>
        <w:trPr>
          <w:trHeight w:val="229"/>
        </w:trPr>
        <w:tc>
          <w:tcPr>
            <w:tcW w:w="40" w:type="dxa"/>
            <w:vAlign w:val="bottom"/>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 impairment charges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71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Contingent consideration gain</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3"/>
        </w:trPr>
        <w:tc>
          <w:tcPr>
            <w:tcW w:w="40" w:type="dxa"/>
            <w:vAlign w:val="bottom"/>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580,151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621,114</w:t>
            </w:r>
          </w:p>
        </w:tc>
      </w:tr>
      <w:tr>
        <w:trPr>
          <w:trHeight w:val="250"/>
        </w:trPr>
        <w:tc>
          <w:tcPr>
            <w:tcW w:w="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earnings (loss)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46,124</w:t>
            </w:r>
          </w:p>
        </w:tc>
      </w:tr>
      <w:tr>
        <w:trPr>
          <w:trHeight w:val="250"/>
        </w:trPr>
        <w:tc>
          <w:tcPr>
            <w:tcW w:w="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21,689</w:t>
            </w:r>
          </w:p>
        </w:tc>
      </w:tr>
      <w:tr>
        <w:trPr>
          <w:trHeight w:val="230"/>
        </w:trPr>
        <w:tc>
          <w:tcPr>
            <w:tcW w:w="40" w:type="dxa"/>
            <w:vAlign w:val="bottom"/>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r>
      <w:tr>
        <w:trPr>
          <w:trHeight w:val="223"/>
        </w:trPr>
        <w:tc>
          <w:tcPr>
            <w:tcW w:w="40" w:type="dxa"/>
            <w:vAlign w:val="bottom"/>
          </w:tcPr>
          <w:p>
            <w:pPr>
              <w:spacing w:after="0"/>
              <w:rPr>
                <w:sz w:val="19"/>
                <w:szCs w:val="19"/>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14,619</w:t>
            </w:r>
          </w:p>
        </w:tc>
      </w:tr>
      <w:tr>
        <w:trPr>
          <w:trHeight w:val="250"/>
        </w:trPr>
        <w:tc>
          <w:tcPr>
            <w:tcW w:w="40" w:type="dxa"/>
            <w:vAlign w:val="bottom"/>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4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60,743</w:t>
            </w:r>
          </w:p>
        </w:tc>
      </w:tr>
      <w:tr>
        <w:trPr>
          <w:trHeight w:val="270"/>
        </w:trPr>
        <w:tc>
          <w:tcPr>
            <w:tcW w:w="40" w:type="dxa"/>
            <w:vAlign w:val="bottom"/>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4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4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60,711</w:t>
            </w:r>
          </w:p>
        </w:tc>
      </w:tr>
      <w:tr>
        <w:trPr>
          <w:trHeight w:val="20"/>
        </w:trPr>
        <w:tc>
          <w:tcPr>
            <w:tcW w:w="4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40" w:type="dxa"/>
            <w:vAlign w:val="bottom"/>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0"/>
        </w:trPr>
        <w:tc>
          <w:tcPr>
            <w:tcW w:w="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40" w:type="dxa"/>
            <w:vAlign w:val="bottom"/>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55,100,063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54,536,281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53,665,143</w:t>
            </w:r>
          </w:p>
        </w:tc>
      </w:tr>
      <w:tr>
        <w:trPr>
          <w:trHeight w:val="230"/>
        </w:trPr>
        <w:tc>
          <w:tcPr>
            <w:tcW w:w="40" w:type="dxa"/>
            <w:vAlign w:val="bottom"/>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55,958,537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55,506,828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61,679,800</w:t>
            </w:r>
          </w:p>
        </w:tc>
      </w:tr>
      <w:tr>
        <w:trPr>
          <w:trHeight w:val="230"/>
        </w:trPr>
        <w:tc>
          <w:tcPr>
            <w:tcW w:w="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169" w:lineRule="exact"/>
        <w:rPr>
          <w:sz w:val="20"/>
          <w:szCs w:val="20"/>
          <w:color w:val="auto"/>
        </w:rPr>
      </w:pPr>
    </w:p>
    <w:p>
      <w:pPr>
        <w:ind w:left="160" w:hanging="152"/>
        <w:spacing w:after="0"/>
        <w:tabs>
          <w:tab w:leader="none" w:pos="160"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4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60,711</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(4,749)</w:t>
            </w:r>
          </w:p>
        </w:tc>
      </w:tr>
      <w:tr>
        <w:trPr>
          <w:trHeight w:val="22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(4,749)</w:t>
            </w:r>
          </w:p>
        </w:tc>
      </w:tr>
      <w:tr>
        <w:trPr>
          <w:trHeight w:val="248"/>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55,962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297" w:right="359" w:bottom="10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028"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382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restart"/>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3"/>
        </w:trPr>
        <w:tc>
          <w:tcPr>
            <w:tcW w:w="3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center"/>
              <w:ind w:right="73"/>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9"/>
        </w:trPr>
        <w:tc>
          <w:tcPr>
            <w:tcW w:w="3820" w:type="dxa"/>
            <w:vAlign w:val="bottom"/>
          </w:tcPr>
          <w:p>
            <w:pPr>
              <w:spacing w:after="0"/>
              <w:rPr>
                <w:sz w:val="3"/>
                <w:szCs w:val="3"/>
                <w:color w:val="auto"/>
              </w:rPr>
            </w:pPr>
          </w:p>
        </w:tc>
        <w:tc>
          <w:tcPr>
            <w:tcW w:w="13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3"/>
                <w:szCs w:val="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38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53,256,094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815,851</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effect of adoption of ASU 2020-06</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53,256,094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800,251</w:t>
            </w:r>
          </w:p>
        </w:tc>
        <w:tc>
          <w:tcPr>
            <w:tcW w:w="0" w:type="dxa"/>
            <w:vAlign w:val="bottom"/>
          </w:tcPr>
          <w:p>
            <w:pPr>
              <w:spacing w:after="0"/>
              <w:rPr>
                <w:sz w:val="1"/>
                <w:szCs w:val="1"/>
                <w:color w:val="auto"/>
              </w:rPr>
            </w:pPr>
          </w:p>
        </w:tc>
      </w:tr>
      <w:tr>
        <w:trPr>
          <w:trHeight w:val="184"/>
        </w:trPr>
        <w:tc>
          <w:tcPr>
            <w:tcW w:w="3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Share-based compensation expense related to</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employee stock purchase plan and share-based</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Issuance of common stock related to employee</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 and share-based awards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60,711</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Unrealized loss on marketable securities, net of</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54,253,796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886,204</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Share-based compensation expense related to</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employee stock purchase plan and share-based</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26,759</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Issuance of common stock related to employee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 plan and share-based 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184"/>
        </w:trPr>
        <w:tc>
          <w:tcPr>
            <w:tcW w:w="3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Unrealized gain on marketable securities, net of</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54,723,356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921,516</w:t>
            </w:r>
          </w:p>
        </w:tc>
        <w:tc>
          <w:tcPr>
            <w:tcW w:w="0" w:type="dxa"/>
            <w:vAlign w:val="bottom"/>
          </w:tcPr>
          <w:p>
            <w:pPr>
              <w:spacing w:after="0"/>
              <w:rPr>
                <w:sz w:val="1"/>
                <w:szCs w:val="1"/>
                <w:color w:val="auto"/>
              </w:rPr>
            </w:pPr>
          </w:p>
        </w:tc>
      </w:tr>
      <w:tr>
        <w:trPr>
          <w:trHeight w:val="184"/>
        </w:trPr>
        <w:tc>
          <w:tcPr>
            <w:tcW w:w="3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Share-based compensation expense related to</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employee stock purchase plan and share-based</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Issuance of common stock related to employee</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stock purchase plan and share-based awards, net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taxes withheld</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Unrealized gain on marketable securities, net of</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55,743,095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479,440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556,426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1,035,733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6"/>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60,711</w:t>
            </w: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85,543</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from Navitor (see Note 4)</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 impairment charges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gains from sales of 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premium/discount on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(26,324)</w:t>
            </w: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valuation write-down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adjustments,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w:t>
            </w: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w:t>
            </w: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18,941</w:t>
            </w: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(19,163)</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2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171,951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116,826</w:t>
            </w:r>
          </w:p>
        </w:tc>
      </w:tr>
      <w:tr>
        <w:trPr>
          <w:trHeight w:val="196"/>
        </w:trPr>
        <w:tc>
          <w:tcPr>
            <w:tcW w:w="7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(406,990)</w:t>
            </w: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190,739</w:t>
            </w: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(216,663)</w:t>
            </w:r>
          </w:p>
        </w:tc>
      </w:tr>
      <w:tr>
        <w:trPr>
          <w:trHeight w:val="196"/>
        </w:trPr>
        <w:tc>
          <w:tcPr>
            <w:tcW w:w="7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Credit Line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Credit Line</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on convertible notes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w:t>
            </w: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taxes paid related to net share settlement of equity awards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(22,900)</w:t>
            </w: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(397,880)</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w:t>
            </w: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(110,314)</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203,434</w:t>
            </w: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93,120</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7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w:t>
            </w: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 on debt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7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additions from utilization of tenant improvement allowance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Organization</w:t>
      </w:r>
    </w:p>
    <w:p>
      <w:pPr>
        <w:spacing w:after="0" w:line="20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Supernus Pharmaceuticals, Inc. (the Company, see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was incorporated in Delaware and commenced operations in 2005. The Company is a biopharmaceutical company focused on developing and commercializing products for the treatment of central nervous system (CNS) diseases. The Company's diverse neuroscience portfolio includes approved treatments for attention-deficit hyperactivity disorder (ADHD), dyskinesia in Parkinson's Disease (PD) patients receiving levodopa-based therapy, hypomobility in PD, epilepsy, migraine, cervical dystonia, and chronic sialorrhea. The Company is developing a broad range of novel CNS product candidates including new potential treatments for hypomobility in PD, epilepsy, depression, and other CNS disorders.</w:t>
      </w:r>
    </w:p>
    <w:p>
      <w:pPr>
        <w:spacing w:after="0" w:line="140"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18"/>
          <w:szCs w:val="18"/>
          <w:color w:val="auto"/>
        </w:rPr>
        <w:t>The Company has eight commercial products: 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ONAPGO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(formerly known as SPN-830). In February 2025, the FDA approved ONAPGO (apomorphine hydrochloride) injection as the first and only subcutaneous apomorphine infusion device for the treatment of motor fluctuations in adults with advanced PD. ONAPGO will be launched in the second quarter of 2025.</w:t>
      </w:r>
    </w:p>
    <w:p>
      <w:pPr>
        <w:spacing w:after="0" w:line="155" w:lineRule="exact"/>
        <w:rPr>
          <w:sz w:val="20"/>
          <w:szCs w:val="20"/>
          <w:color w:val="auto"/>
        </w:rPr>
      </w:pPr>
    </w:p>
    <w:p>
      <w:pPr>
        <w:ind w:right="7680" w:firstLine="8"/>
        <w:spacing w:after="0" w:line="464" w:lineRule="auto"/>
        <w:tabs>
          <w:tab w:leader="none" w:pos="1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generally accepted accounting principles in the United States (U.S. GAAP).</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which is primarily located in the United States (U.S.), operates in one operating segment.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85"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prior year amounts related to the caption </w:t>
      </w:r>
      <w:r>
        <w:rPr>
          <w:rFonts w:ascii="Times New Roman" w:cs="Times New Roman" w:eastAsia="Times New Roman" w:hAnsi="Times New Roman"/>
          <w:sz w:val="18"/>
          <w:szCs w:val="18"/>
          <w:i w:val="1"/>
          <w:iCs w:val="1"/>
          <w:color w:val="auto"/>
        </w:rPr>
        <w:t>Inventory valuation write-down</w:t>
      </w:r>
      <w:r>
        <w:rPr>
          <w:rFonts w:ascii="Times New Roman" w:cs="Times New Roman" w:eastAsia="Times New Roman" w:hAnsi="Times New Roman"/>
          <w:sz w:val="18"/>
          <w:szCs w:val="18"/>
          <w:color w:val="auto"/>
        </w:rPr>
        <w:t xml:space="preserve"> in the consolidated statements of cash flows has been reclassified to conform to current year presentation. The reclassification did not affect the other consolidated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02"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Supernus Pharmaceuticals, Inc. and its wholly-owned subsidiaries. These are collectively referred to herein as "Supernus" or "the Company." Supernus Pharmaceuticals, Inc. and each of its subsidiaries are distinct legal entities. All material intercompany transactions and balances have been eliminated in consolidation.</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w:t>
      </w:r>
    </w:p>
    <w:p>
      <w:pPr>
        <w:spacing w:after="0" w:line="14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continuously assesses whether it is the primary beneficiary of a VIE as changes to existing relationships or future transactions may affect its conclusions.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investments in highly liquid financial instruments with an original maturity of three months or less to be cash equivalents.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Marketable securities consist of investments in U.S. Treasury bills and notes; bank certificates of deposit; various U.S. government agency debt securities; corporate and municipal debt securities. The Company places all investments with governmental, industrial, or financial institutions whose debt is rated as investment grade.</w:t>
      </w:r>
    </w:p>
    <w:p>
      <w:pPr>
        <w:spacing w:after="0" w:line="14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Company's investments are classified as available-for-sale and are carried at fair value. The Company classifies all available-for-sale marketable securities with maturities greater than one year from the balance sheet date as non-current assets.</w:t>
      </w:r>
    </w:p>
    <w:p>
      <w:pPr>
        <w:spacing w:after="0" w:line="119"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Any unrealized holding gains or losses on debt securities, including their tax effect, are reported as components of </w:t>
      </w:r>
      <w:r>
        <w:rPr>
          <w:rFonts w:ascii="Times New Roman" w:cs="Times New Roman" w:eastAsia="Times New Roman" w:hAnsi="Times New Roman"/>
          <w:sz w:val="18"/>
          <w:szCs w:val="18"/>
          <w:i w:val="1"/>
          <w:iCs w:val="1"/>
          <w:color w:val="auto"/>
        </w:rPr>
        <w:t>Other comprehensive gain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 </w:t>
      </w:r>
      <w:r>
        <w:rPr>
          <w:rFonts w:ascii="Times New Roman" w:cs="Times New Roman" w:eastAsia="Times New Roman" w:hAnsi="Times New Roman"/>
          <w:sz w:val="18"/>
          <w:szCs w:val="18"/>
          <w:color w:val="auto"/>
        </w:rPr>
        <w:t>in the consolidated statement of comprehensive earnings. Realized gains and losses, included in</w:t>
      </w:r>
      <w:r>
        <w:rPr>
          <w:rFonts w:ascii="Times New Roman" w:cs="Times New Roman" w:eastAsia="Times New Roman" w:hAnsi="Times New Roman"/>
          <w:sz w:val="18"/>
          <w:szCs w:val="18"/>
          <w:i w:val="1"/>
          <w:iCs w:val="1"/>
          <w:color w:val="auto"/>
        </w:rPr>
        <w:t xml:space="preserve"> Interest and other income, net </w:t>
      </w:r>
      <w:r>
        <w:rPr>
          <w:rFonts w:ascii="Times New Roman" w:cs="Times New Roman" w:eastAsia="Times New Roman" w:hAnsi="Times New Roman"/>
          <w:sz w:val="18"/>
          <w:szCs w:val="18"/>
          <w:color w:val="auto"/>
        </w:rPr>
        <w:t>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earnings, are determined using the specific identification method for determining the cost of securities sold.</w:t>
      </w:r>
    </w:p>
    <w:p>
      <w:pPr>
        <w:spacing w:after="0" w:line="1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Declines in fair value below amortized cost related to credit losses (i.e., impairment due to credit losses) are included in the consolidated statement of earnings, with a corresponding allowance established. If the estimate of expected credit losses decreases in subsequent periods, the Company will reverse the credit losses through current period earnings and adjust the allowance accordingly.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Contingent Consideration</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determines whether an acquisition should be accounted for as a business combination or as an asset acquisition. If the acquired set of activities and assets does not meet the definition of a business, as defined by U.S. GAAP, the transaction is accounted for as an asset acquisition. In an asset acquisition, any acquired research and development that does not have an alternative future use is charged to expense as of the acquisition date, and no goodwill is recorded. If the acquired set of activities and assets meets the definition of a business, the Company applies the acquisition method of accounting and accounts for the transaction as a business combination. In a business combination, assets acquired and liabilities assumed are recorded at their respective fair values as of the acquisition date. The excess of the purchase price over the fair value of the acquired net assets, if applicable, is recorded as goodwill.</w:t>
      </w:r>
    </w:p>
    <w:p>
      <w:pPr>
        <w:spacing w:after="0" w:line="14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a business combination, the operating results of the acquired business are included in the Company's consolidated statement of earnings, beginning on the effective acquisition date. Acquisition-related expenses are recognized separately from the business combination and are expensed as incurred.</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Significant judgment is involved in the determination of the fair value assigned to assets acquired and liabilities assumed in a business combination, as well as the estimated useful lives of assets. These estimates can materially affect our consolidated results of operations and financial position. The fair value of intangible assets are determined using information available as of the acquisition date and are based on estimates and assumptions that are deemed reasonable by management. Significant estimates and assumptions include but are not limited to: the probability of regulatory approval, revenue growth, and appropriate discount rate.</w:t>
      </w:r>
    </w:p>
    <w:p>
      <w:pPr>
        <w:spacing w:after="0" w:line="14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value assets acquired and liabilities assumed as of the acquisition date, estimates are inherently uncertain and subject to refinement. As a result, during the measurement period,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which may be up to one year from the acquisition date, the Company may record adjustments to the assets acquired and liabilities assumed with the corresponding offset to goodwill.</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Upon the conclusion of the measurement period, any subsequent adjustments are recorded to our consolidated statements of earnings in the period that these adjustments are identified.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0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Business combinations often include provisions for additional consideration to be transferred to former shareholders based upon the achievement of certain milestones, referred to as contingent consideration. Contingent consideration from product development milestones and sales-based milestone payments on future product sales are included in the purchase price for business combinations. The fair value of the contingent consideration liability is determined as of the acquisition date using estimated or forecasted inputs. These inputs include the estimated amount and timing of projected revenues, probability and timing of milestone achievement, probability of in-process research &amp; development ("IPR&amp;D") achieving regulatory approval, revenue volatility, and the estimated discount rates and risk-free rate used to present value the probability-weighted cash flows. Subsequent to the acquisition date, at each reporting period prior to the resolution of the contingency, the contingent consideration liability is remeasured at current fair value, with changes recorded in earnings in the period of remeasurement.</w:t>
      </w:r>
    </w:p>
    <w:p>
      <w:pPr>
        <w:spacing w:after="0" w:line="15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determination of the initial and subsequent fair value of the contingent consideration liability may require significant judgment by management. Changes in any of the inputs not related to facts and circumstances existing as of the acquisition date may result in a significant fair value adjustment, which can impact the results of operations in the period in which the adjustment is made. Changes that are not measurement period adjustments are reported on the consolidated statement of earnings in </w:t>
      </w:r>
      <w:r>
        <w:rPr>
          <w:rFonts w:ascii="Times New Roman" w:cs="Times New Roman" w:eastAsia="Times New Roman" w:hAnsi="Times New Roman"/>
          <w:sz w:val="18"/>
          <w:szCs w:val="18"/>
          <w:i w:val="1"/>
          <w:iCs w:val="1"/>
          <w:color w:val="auto"/>
        </w:rPr>
        <w:t>Contingent consideration gain</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Additional information regarding contingent consideration is included in Note 6, </w:t>
      </w:r>
      <w:r>
        <w:rPr>
          <w:rFonts w:ascii="Times New Roman" w:cs="Times New Roman" w:eastAsia="Times New Roman" w:hAnsi="Times New Roman"/>
          <w:sz w:val="18"/>
          <w:szCs w:val="18"/>
          <w:i w:val="1"/>
          <w:iCs w:val="1"/>
          <w:color w:val="auto"/>
        </w:rPr>
        <w:t>Contingent Consideration.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are reported on the consolidated balance sheets at outstanding amounts due from customers, less an allowance for doubtful accounts and sales discounts. The Company extends credit without requiring collateral.</w:t>
      </w:r>
    </w:p>
    <w:p>
      <w:pPr>
        <w:spacing w:after="0" w:line="1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Company writes off uncollectible receivables when the customer has had a change in creditworthiness and the likelihood of collection is remote. Payment terms for receivables are based on customary commercial terms and are predominantly less than one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89"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concentrations consist of cash, cash equivalents, marketable securities, and accounts receivable. The counterparties are various corporations, governmental institutions, and financial institutions of high credit standing.</w:t>
      </w:r>
    </w:p>
    <w:p>
      <w:pPr>
        <w:spacing w:after="0" w:line="9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cash, cash equivalents, and marketable securities are maintained in U.S. Treasury bills and notes; bank certificates of deposit; various U.S. governmental agency debt securities; and corporate and municipal debt securities. The Company places all investments with governmental, industrial, or financial institutions whose debt is rated as investment grade. Deposits held with banks may exceed the amount of governmental insurance provided on such deposits. Generally, these deposits may be redeemed upon demand, and therefore, these bear minimal default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shows the percentage of the Company's sales made to customers representing more than 10% of the Company's total gross product sales, and the percentage of the Company's accounts receivables, net from each:</w:t>
      </w: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4360" w:type="dxa"/>
            <w:vAlign w:val="bottom"/>
            <w:gridSpan w:val="6"/>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Percentage of Gross Product Sales</w:t>
            </w:r>
          </w:p>
        </w:tc>
        <w:tc>
          <w:tcPr>
            <w:tcW w:w="2800" w:type="dxa"/>
            <w:vAlign w:val="bottom"/>
            <w:gridSpan w:val="4"/>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rPr>
              <w:t>Percentage of Accounts Receivable,</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4360" w:type="dxa"/>
            <w:vAlign w:val="bottom"/>
            <w:gridSpan w:val="6"/>
            <w:vMerge w:val="continue"/>
          </w:tcPr>
          <w:p>
            <w:pPr>
              <w:spacing w:after="0"/>
              <w:rPr>
                <w:sz w:val="21"/>
                <w:szCs w:val="21"/>
                <w:color w:val="auto"/>
              </w:rPr>
            </w:pPr>
          </w:p>
        </w:tc>
        <w:tc>
          <w:tcPr>
            <w:tcW w:w="17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Disaggregated Revenues</w:t>
      </w:r>
      <w:r>
        <w:rPr>
          <w:rFonts w:ascii="Times New Roman" w:cs="Times New Roman" w:eastAsia="Times New Roman" w:hAnsi="Times New Roman"/>
          <w:sz w:val="18"/>
          <w:szCs w:val="18"/>
          <w:color w:val="auto"/>
        </w:rPr>
        <w:t>, for the concentration of net product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Inventories are recorded at the lower of cost or net realizable value, and include materials, labor, direct costs and indirect costs. These are valued using the first-in, first-out method. The Company periodically reviews inventory and records write-downs for any excess, expired and obsolete inventory, and for inventory that has a cost basis in excess of its expected net realizable value based on estimates of product demand, production requirements, market conditions, regulatory requirements and spoilage. The write-down to net realizable value is recorded in the period in which impairment is identified and is recorded as a component of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consolidated statement of earnings.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8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Upon retirement or sale, the cost of assets disposed of and the related accumulated depreciation are removed from the accounts and any resulting gain or loss is credited or charged to operations. Repairs and maintenance costs are expensed as incurred. Depreciation and amortization are computed using the straight-line method over the following useful lives: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 - 5 years</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 - 5 years</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 and furniture</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 - 10 years</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lease term or useful life</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definite-lived intangible assets: acquired developed technology and product rights, patent defense costs, and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indefinite-lived intangible asset: acquired IPR&amp;D.</w:t>
      </w:r>
    </w:p>
    <w:p>
      <w:pPr>
        <w:spacing w:after="0" w:line="166"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Patent defense costs are legal fees that have been incurred in connection with legal proceedings related to the defense of patents. Patent defense costs are charged to expense in the event of an unsuccessful litigation outcome, or if they are deemed to not provide an increase in the value of the patent.</w:t>
      </w:r>
    </w:p>
    <w:p>
      <w:pPr>
        <w:spacing w:after="0" w:line="9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Definite-lived intangible assets are carried at cost less accumulated amortization, with amortization calculated on a straight line basis over the estimated useful lives of the assets. The Company evaluates the estimated remaining useful life of its intangible assets annually, or when events or changes in circumstances warrant a revision to the remaining periods of amortization.</w:t>
      </w:r>
    </w:p>
    <w:p>
      <w:pPr>
        <w:spacing w:after="0" w:line="14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Acquired IPR&amp;D in a business combination is considered an indefinite-lived intangible asset until the completion or abandonment of the associated research and development efforts. Upon successful completion of the project, the Company will determine the then-useful life of the intangible asset. This is generally determined as the period over which the substantial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majority of the cash flows are expected to be generated. The capitalized amount is then amortized over its estimated useful life. If a project is abandoned, all remaining capitalized amounts are written off immediately. During the period prior to completion or abandonment, the IPR&amp;D asset is not amortized but tested for impairment on an annual basis or when potential indicators of impairment are identified.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operating lease assets, and definite-lived intangible assets. The Company assesses the recoverability of its long-lived assets with definite lives whenever events or changes in circumstances indicate that the carrying amount of an asset may not be recoverable. If indications of impairment exist, projected future undiscounted cash flows associated with the asset would be compared to the carrying value of the asset to determine whether the asset's value is recoverable. If impairment is determined, the Company writes down the asset to its estimated fair value and records an impairment loss equal to the excess of the carrying value of the long-lived asset over its estimated fair value in the period at which such a determination is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Indefinite-Lived Intangible Assets</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For indefinite-lived intangible assets, such as the acquired IPR&amp;D asset, the Company evaluates impairment annually or more frequently if impairment indicators exist. The annual evaluation is generally based on an assessment of qualitative factors to determine whether it is more likely than not that the fair value of the asset is less than its carrying amount. The Company considers various factors including but not limited to, significant or adverse changes in the legal and regulatory environment, adverse clinical trial results, significant trial delays, inability to obtain governmental approval, inability to commercialize a product candidate, the introduction or advancement of competitive products, and product candidates, or other events that indicate it is more likely than not that fair value is less than its carrying value. If the Company is unable to conclude whether the indefinite-lived intangible asset is not impaired after considering the totality of events and circumstances during its qualitative assessment, the Company performs a quantitative assessment by estimating the fair value of the indefinite-lived intangible asset and comparing the fair value to the carrying amount. Evaluating for impairment requires judgment, including evaluating current economic and competitive circumstances, estimating future cash flows, future growth rates, future profitability, and the expected life over which projected cash flows would occur. If the carrying amount of the indefinite-lived intangible asset exceeds its fair value, the Company writes down the indefinite-lived intangible asset to its estimated fair value, and an impairment loss equal to the difference between the assets fair value and carrying value is recognized in the consolidated statement of earnings in the period at which such determination is made.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Goodwill Impairment Assessment</w:t>
      </w:r>
    </w:p>
    <w:p>
      <w:pPr>
        <w:spacing w:after="0" w:line="202"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consideration paid as part of an acquisition compared to the net assets recognized in a business combination. Goodwill represents the future economic benefits from the other acquired assets that could not be individually identified and separately quantified.</w:t>
      </w:r>
    </w:p>
    <w:p>
      <w:pPr>
        <w:spacing w:after="0" w:line="13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evaluates goodwill for possible impairment at least annually (during the fourth quarter of each fiscal year), or more often, if and when events and circumstances indicate that goodwill may be impaired. The annual evaluation is generally based on an assessment of qualitative factors to determine whether it is more likely than not that the fair value of the asset is less than its carrying amount. This includes but is not limited to, significant adverse changes in the business climate, market conditions, or other events that indicate that it is more likely than not that the fair value of the reporting unit is less than its carrying value. If the Company is unable to conclude whether the goodwill is not impaired after considering the totality of events and circumstances during its qualitative assessment, the Company performs a quantitative assessment by estimating the fair value of the reporting unit and comparing the fair value to the carrying amount. Evaluating for impairment requires judgment, including identifying reporting units and estimating future cash flows. The Company estimates the fair values of its reporting unit using discounted cash flow models or other valuation models, such as comparative transactions or market multiples. If the carrying amount of the reporting unit exceeds its fair value, the Company writes down the goodwill to the estimated fair value, and an impairment loss equal to the difference is recognized in the consolidated statement of earnings in the period at which such determination is made.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determines revenue recognition for our contractual arrangements with customers based on the following five steps: (1) identify each contract with a customer; (2) identify the performance obligations in the contract; (3) determine the transaction price; (4) allocate the transaction price to our performance obligations in the contract; and (5) recognize revenue when (or as) the Company satisfies the relevant performance obligation. The Company only applies the five-step model to contracts when it is probable that the Company will collect the consideration it is entitled to in exchange for the goods or services it transfers to the customer. The Company recognizes revenue in an amount that reflects the consideration the Company expects to receive in exchange for those goods or services. The Company does not adjust revenue for any financing effects in transactions where the Company expects the period between the transfer of the goods or services and collection to be less than one year.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contract assets or liabilities were recorded as of December 31, 2024, or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Product Sales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Company's customers are primarily pharmaceutical wholesalers, specialty pharmacies, and pharmaceutical distributors. Customers purchase product to fulfill orders from retail pharmacy chains and independent pharmacies of varying size and purchasing power. The Company recognizes gross product sales when its customers take control of its products, including title and ownership. Customer orders are generally fulfilled within a few days of order receipt, resulting in minimal order backlog.</w:t>
      </w:r>
    </w:p>
    <w:p>
      <w:pPr>
        <w:spacing w:after="0" w:line="13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product sales in an amount that reflects the consideration the Company expects to ultimately receive in exchange for those goods. Product sales are recorded net of various forms of variable consideration, including: provision for estimated rebates; provision for estimated future product returns; and an estimated provision for discounts. These are collectively considered "sales deductions." Sales deductions are based on estimates of the amounts earned or to be claimed on the related sales. These amounts are treated as variable consideration, estimated and recognized as a reduction of the transaction price at the time of sale using the most likely value method. The Company includes these estimated amounts in the transaction price to the extent it is probable that a significant reversal will not occur.</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Variability in the net transaction price for the Company's products arises primarily from the aforementioned sales deductions. Significant judgment is required in estimating certain sales deductions. In making these estimates, the Company considers: historical experience; product price increases; current contractual arrangements under applicable payor programs; unbilled claims; processing time lags for claims; inventory levels in the wholesale, specialty pharmacy, and retail distribution channel; and product life cycle. The Company adjusts its estimates of revenue either when the most likely amount of consideration it expects to receive changes, or when the consideration becomes fixed. If actual results in the future vary from our estimates, the Company adjusts its estimates in the period identified. These adjustments could materially affect net product sales and earnings in the period in which the adjustment(s) is recorded.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Deductions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records product sales net of rebates, returns and discounts.</w:t>
      </w:r>
    </w:p>
    <w:p>
      <w:pPr>
        <w:spacing w:after="0" w:line="196" w:lineRule="exact"/>
        <w:rPr>
          <w:sz w:val="20"/>
          <w:szCs w:val="20"/>
          <w:color w:val="auto"/>
        </w:rPr>
      </w:pPr>
    </w:p>
    <w:p>
      <w:pPr>
        <w:ind w:left="660" w:right="80" w:hanging="328"/>
        <w:spacing w:after="0" w:line="271" w:lineRule="auto"/>
        <w:tabs>
          <w:tab w:leader="none" w:pos="65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Rebates </w:t>
      </w:r>
      <w:r>
        <w:rPr>
          <w:rFonts w:ascii="Times New Roman" w:cs="Times New Roman" w:eastAsia="Times New Roman" w:hAnsi="Times New Roman"/>
          <w:sz w:val="17"/>
          <w:szCs w:val="17"/>
          <w:color w:val="auto"/>
        </w:rPr>
        <w:t>- Rebates are discounts which the Company pays under either public sector or private sector health care programs. Rebates paid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public sector programs are generally mandated under law, whereas private sector rebates are generally contractually negotiated by the Company with managed care providers. Both types of rebates vary over time. Rebates are owed when our customer dispenses our product to a patient; i.e., filling a prescription.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co-payment assistance programs; and anticipated changes in program utilization rates; i.e., patient participation rates under each specific program. The Company records an estimated liability for rebates at the time the customer takes title to the product (i.e., at the time of sale to wholesalers/distributors). This liability is recorded as a reduction to gross product sales, and an increase in </w:t>
      </w:r>
      <w:r>
        <w:rPr>
          <w:rFonts w:ascii="Times New Roman" w:cs="Times New Roman" w:eastAsia="Times New Roman" w:hAnsi="Times New Roman"/>
          <w:sz w:val="17"/>
          <w:szCs w:val="17"/>
          <w:i w:val="1"/>
          <w:iCs w:val="1"/>
          <w:color w:val="auto"/>
        </w:rPr>
        <w:t>Accrued product returns and rebates.</w:t>
      </w:r>
      <w:r>
        <w:rPr>
          <w:rFonts w:ascii="Times New Roman" w:cs="Times New Roman" w:eastAsia="Times New Roman" w:hAnsi="Times New Roman"/>
          <w:sz w:val="17"/>
          <w:szCs w:val="17"/>
          <w:color w:val="auto"/>
        </w:rPr>
        <w:t xml:space="preserve"> The liability is recorded as a component of current liabilities on the consolidated balance sheets.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00" w:lineRule="exact"/>
        <w:rPr>
          <w:rFonts w:ascii="Times New Roman" w:cs="Times New Roman" w:eastAsia="Times New Roman" w:hAnsi="Times New Roman"/>
          <w:sz w:val="18"/>
          <w:szCs w:val="18"/>
          <w:b w:val="1"/>
          <w:bCs w:val="1"/>
          <w:color w:val="auto"/>
        </w:rPr>
      </w:pPr>
    </w:p>
    <w:p>
      <w:pPr>
        <w:spacing w:after="0" w:line="378" w:lineRule="exact"/>
        <w:rPr>
          <w:rFonts w:ascii="Times New Roman" w:cs="Times New Roman" w:eastAsia="Times New Roman" w:hAnsi="Times New Roman"/>
          <w:sz w:val="18"/>
          <w:szCs w:val="18"/>
          <w:b w:val="1"/>
          <w:bCs w:val="1"/>
          <w:color w:val="auto"/>
        </w:rPr>
      </w:pPr>
    </w:p>
    <w:p>
      <w:pPr>
        <w:ind w:left="660" w:hanging="328"/>
        <w:spacing w:after="0" w:line="254" w:lineRule="auto"/>
        <w:tabs>
          <w:tab w:leader="none" w:pos="65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Returns - </w:t>
      </w:r>
      <w:r>
        <w:rPr>
          <w:rFonts w:ascii="Times New Roman" w:cs="Times New Roman" w:eastAsia="Times New Roman" w:hAnsi="Times New Roman"/>
          <w:sz w:val="18"/>
          <w:szCs w:val="18"/>
          <w:color w:val="auto"/>
        </w:rPr>
        <w:t>Sales of the Company's products are not subject to a general right of return. A product that has been used to fill patient prescriptions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 longer subject to any right of return. However, the Company will accept a return of product that is damaged or defective when shipped from its third party fulfillment centers. The Company will also accept a return of expired product six months prior to and up to twelve months subsequent to the product's expiry date for certain products. Expired or defective returned product cannot be re-sold and is therefore destroyed. The Company records an estimated liability for product returns at the time the customer takes title to the product (i.e., at time of sale). The liability is reflected as a reduction to gross product sales, and an increase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This liability is recorded as a component of current liabilities on the consolidated balance sheets. The Company estimates the liability for returns primarily based on the actual returns experience for its commercial products. Because the Company's products have a shelf life up to forty-eight months from the date of manufacture, and because the Company accepts return of product up to twelve months post its expiry date, there is a time lag of several years between the time when the product is sold and the time when the Company may issue credit on the expired product.</w:t>
      </w:r>
    </w:p>
    <w:p>
      <w:pPr>
        <w:spacing w:after="0" w:line="144"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5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discounts - </w:t>
      </w:r>
      <w:r>
        <w:rPr>
          <w:rFonts w:ascii="Times New Roman" w:cs="Times New Roman" w:eastAsia="Times New Roman" w:hAnsi="Times New Roman"/>
          <w:sz w:val="18"/>
          <w:szCs w:val="18"/>
          <w:color w:val="auto"/>
        </w:rPr>
        <w:t>Distributors and wholesalers of the Company's pharmaceutical products are generally offered various forms of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allowances, service fees and prompt payment discounts, for distributing our products. Distributor and wholesaler allowances and service fees arise from contractual agreements and are estimated as a percentage of the price at which the Company sells product to them. In addition, distributors and wholesalers are offered a prompt pay discount for payment within a specified period. Prompt pay discounts are estimated as a percentage of the price at which the Company sells product. The Company accounts for these discounts at the time of sale as a reduction to gross product sales and accounts receivable, net.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Licensing, and Other Revenues</w:t>
      </w:r>
    </w:p>
    <w:p>
      <w:pPr>
        <w:spacing w:after="0" w:line="202"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Royalty revenues include cash royalty amounts received from third parties pursuant to settlement agreements and agreements with collaboration partners for the right to use the Company's intellectual property as a functional license. These agreements may include sales-based royalties on the licensed intellectual property to which the royalties relate and milestone payments based on the level of sales (collectively, "sales-based royalties"). For arrangements that include sales-based royalties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If it is probable that a significant revenue reversal will not occur, the Company will estimate the royalty revenues using the most likely amount method. Certain of the Company’s royalty revenues are recognized by the Company based on information supplied to the Company by its licensees and require estimates to be made. Sales-based royalties are recorded based on estimated net sales of the underlying product. Differences between actual royalty revenues and estimated royalty revenues are reconciled and adjusted for in the period in which they become known, which is generally within the following quarter. The difference between the Company’s actual and estimated royalty revenues has not been material to date.</w:t>
      </w:r>
    </w:p>
    <w:p>
      <w:pPr>
        <w:spacing w:after="0" w:line="13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Historically, royalty revenues also included noncash royalty revenues for amounts earned pursuant to its royalty agreement with United Therapeutics Corporation (United Therapeutics) and was based on estimated product sales of Orenitram by United Therapeutics. During the second quarter of 2023, full ownership of the royalty rights has reverted back to the Company as the cumulative payment threshold has been reached (see Note 3, </w:t>
      </w:r>
      <w:r>
        <w:rPr>
          <w:rFonts w:ascii="Times New Roman" w:cs="Times New Roman" w:eastAsia="Times New Roman" w:hAnsi="Times New Roman"/>
          <w:sz w:val="18"/>
          <w:szCs w:val="18"/>
          <w:i w:val="1"/>
          <w:iCs w:val="1"/>
          <w:color w:val="auto"/>
        </w:rPr>
        <w:t>Disaggregated Revenues).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guaranteed amounts owed to the Company related to any of these royalty revenue agreements.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Arrangements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arrangements to assess whether they are within the scope of Accounting Standards Codification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dependent on the commercial success of such activities.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elements of collaboration arrangements that are accounted for pursuant to ASC 808, an appropriate recognition method is determined and applied consistently.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five-step model under ASC 606 noted above.</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Company's agreements with third parties generally involve the right to use the Company's intellectual property as a functional license. Certain agreements include an up-front license fee and ongoing milestone payments upon the achievement of specific events, and may also require minimum royalty payments based on in-country sales of products developed from the applicable intellectual property.</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determining when to recognize the revenue under a collaboration agreement, the Company assesses whether the license is distinct, which depends upon whether the customer can benefit from the license and whether the license is separate from other performance obligations in the agreement. If the license is distinct, the Company must further assess whether the customer has a right to access or a right to use the license depending on whether the functionality of the license is expected to substantively change over time. If the license is not expected to substantively change, the revenue is recognized at the point in time when the license is provided. Generally, the Company recognizes revenues from non-refundable up-front fees allocated to the license at a point in time, when the license is transferred to the licensee and the licensee is able to use and benefit from the license.</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Revenue recognition from milestone payments is dependent upon the facts and circumstances surrounding the milestone payments. Generally, milestone payments under the Company’s collaboration agreements with third parties are non-refundable. The Company evaluates whether achieving the milestones is considered probable and estimates the amount to be included in the transaction price using the most likely amount method. This can involve management's judgment that includes assessing factors that are outside of the Company's influence, such as: likelihood of regulatory success; availability of third party information; and expected duration of time until achievement of event. These factors are evaluated based on the specific facts and circumstances. If it is probable that a significant revenue reversal would not occur, the value of the associated milestone is included in the transaction price.</w:t>
      </w:r>
    </w:p>
    <w:p>
      <w:pPr>
        <w:spacing w:after="0" w:line="14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Milestone payments based on a non-sales metric such as a development-based milestone (e.g. obtaining regulatory approval) represent variable consideration and would be included in the transaction price subject to any constraints. If the milestone payments relate to future development, the timing of recognition depends upon historical experience, the specific facts and circumstances, and the significance a third-party has on the outcome. Milestone payments that are not within the control of the Company, such as approval from regulatory authorities or where attainment of the specified event is dependent on the development activities of a third-party, are fully constrained and are not included in the transaction price until the period in which those regulatory approvals are obtained, or the specified event occurs due to the inherent uncertainty with the approval process.</w:t>
      </w:r>
    </w:p>
    <w:p>
      <w:pPr>
        <w:spacing w:after="0" w:line="14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milestone payments to be received upon the achievement of a sales threshold, the revenue from the milestone payments is recognized at the later of when the actual sales are incurred or the performance obligation to which the sales relate has been satisfied as noted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8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cost of goods sold consists primarily of materials; third-party manufacturing costs; freight and distribution costs; direct labor; cost of royalties; cost to write down inventory to net realizable value and manufacturing overhead costs, including quality control and assurance.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0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expenditures are expensed as incurred. These expenses include: employee salaries, benefits, and share-based compensation; cost of contract research and development services provided by third parties; costs for preclinical and clinical studies; cost of acquiring or manufacturing clinical trial materials; regulatory costs; research facilities costs; depreciation expense and allocated occupancy expenses; and license fees and milestone payments related to in-licensed products and technologies. Acquired IPR&amp;D assets that are used for research and development and have no future alternative use are expensed as incurred in-process research and development.</w:t>
      </w:r>
    </w:p>
    <w:p>
      <w:pPr>
        <w:spacing w:after="0" w:line="14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estimates preclinical and clinical trial expenses based on services performed pursuant to contracts with research institutions, clinical investigators, clinical research organizations (CROs), and other service providers that perform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services on the Company's behalf. In recording service fees, the Company estimates the cost of those services performed on behalf of the Company during the current period and compares those costs with the cumulative expenses recorded and payments made for such services. As appropriate, the Company accrues additional expense for services that have been delivered or defers nonrefundable advance payments until the related services are performed.</w:t>
      </w:r>
    </w:p>
    <w:p>
      <w:pPr>
        <w:spacing w:after="0" w:line="117"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If the actual timing of the performance of services or the level of effort varies from our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determination is made.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share-based compensation expense over the service period, using the straight-line method. Employee share-based compensation for stock options is determined using the Black-Scholes option-pricing model to compute the fair value of option grants as of their grant date. Forfeitures are accounted for as incurred. The Company uses the following assumptions for estimating the fair value of option grants:</w:t>
      </w:r>
    </w:p>
    <w:p>
      <w:pPr>
        <w:spacing w:after="0" w:line="133" w:lineRule="exact"/>
        <w:rPr>
          <w:sz w:val="20"/>
          <w:szCs w:val="20"/>
          <w:color w:val="auto"/>
        </w:rPr>
      </w:pPr>
    </w:p>
    <w:p>
      <w:pPr>
        <w:ind w:left="660" w:right="140" w:hanging="328"/>
        <w:spacing w:after="0" w:line="284" w:lineRule="auto"/>
        <w:tabs>
          <w:tab w:leader="none" w:pos="655"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common stock underlying the option grants is determined based on observable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common stock.</w:t>
      </w:r>
    </w:p>
    <w:p>
      <w:pPr>
        <w:spacing w:after="0" w:line="131" w:lineRule="exact"/>
        <w:rPr>
          <w:rFonts w:ascii="Times New Roman" w:cs="Times New Roman" w:eastAsia="Times New Roman" w:hAnsi="Times New Roman"/>
          <w:sz w:val="18"/>
          <w:szCs w:val="18"/>
          <w:i w:val="1"/>
          <w:iCs w:val="1"/>
          <w:color w:val="auto"/>
        </w:rPr>
      </w:pPr>
    </w:p>
    <w:p>
      <w:pPr>
        <w:ind w:left="660" w:right="620" w:hanging="328"/>
        <w:spacing w:after="0" w:line="284" w:lineRule="auto"/>
        <w:tabs>
          <w:tab w:leader="none" w:pos="655"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—Volatility is a measure of the amount by which the Company's share price has historically fluctuated or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fluctuate on a daily basis and is expected to fluctuate (i.e., expected volatility) in the future.</w:t>
      </w:r>
    </w:p>
    <w:p>
      <w:pPr>
        <w:spacing w:after="0" w:line="117" w:lineRule="exact"/>
        <w:rPr>
          <w:rFonts w:ascii="Times New Roman" w:cs="Times New Roman" w:eastAsia="Times New Roman" w:hAnsi="Times New Roman"/>
          <w:sz w:val="18"/>
          <w:szCs w:val="18"/>
          <w:i w:val="1"/>
          <w:iCs w:val="1"/>
          <w:color w:val="auto"/>
        </w:rPr>
      </w:pPr>
    </w:p>
    <w:p>
      <w:pPr>
        <w:ind w:left="660" w:right="240" w:hanging="328"/>
        <w:spacing w:after="0" w:line="284" w:lineRule="auto"/>
        <w:tabs>
          <w:tab w:leader="none" w:pos="655"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has never declared or paid dividends and has no plans to do so in the foreseeable future.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yield is therefore zero.</w:t>
      </w:r>
    </w:p>
    <w:p>
      <w:pPr>
        <w:spacing w:after="0" w:line="117"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—This is the period of time during which options are expected to remain unexercised. The Company determines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historical exercise behavior of the stock option plan participants. Options have a maximum contractual term of ten years.</w:t>
      </w:r>
    </w:p>
    <w:p>
      <w:pPr>
        <w:spacing w:after="0" w:line="131" w:lineRule="exact"/>
        <w:rPr>
          <w:rFonts w:ascii="Times New Roman" w:cs="Times New Roman" w:eastAsia="Times New Roman" w:hAnsi="Times New Roman"/>
          <w:sz w:val="18"/>
          <w:szCs w:val="18"/>
          <w:i w:val="1"/>
          <w:iCs w:val="1"/>
          <w:color w:val="auto"/>
        </w:rPr>
      </w:pPr>
    </w:p>
    <w:p>
      <w:pPr>
        <w:ind w:left="660" w:right="340" w:hanging="328"/>
        <w:spacing w:after="0" w:line="284" w:lineRule="auto"/>
        <w:tabs>
          <w:tab w:leader="none" w:pos="655"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—This is the observed U.S. Treasury Note rate as of the week each option grant is issued, with a term that most closely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resembles the expected term of the 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18"/>
          <w:szCs w:val="18"/>
          <w:color w:val="212529"/>
        </w:rPr>
        <w:t>is recorded based on amortizing the fair market value of the RSU as of the date of the grant over the</w:t>
      </w:r>
      <w:r>
        <w:rPr>
          <w:rFonts w:ascii="Times New Roman" w:cs="Times New Roman" w:eastAsia="Times New Roman" w:hAnsi="Times New Roman"/>
          <w:sz w:val="18"/>
          <w:szCs w:val="18"/>
          <w:color w:val="auto"/>
        </w:rPr>
        <w:t xml:space="preserve"> implied service period. RSUs granted to employees generally vest over four equivalent annual installments, starting on the first anniversary of the grant. RSUs granted to directors generally vest over a one year term. Forfeitures are accounted for as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 (PSUs)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12529"/>
        </w:rPr>
        <w:t>Performance-Based Awards</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Share-based compensation expense for performance-based awards is recognized based on amortizing the fair market value of the award as of the grant date over the periods during which the achievement of the performance target is probable. Performance-based </w:t>
      </w:r>
      <w:r>
        <w:rPr>
          <w:rFonts w:ascii="Times New Roman" w:cs="Times New Roman" w:eastAsia="Times New Roman" w:hAnsi="Times New Roman"/>
          <w:sz w:val="18"/>
          <w:szCs w:val="18"/>
          <w:color w:val="212529"/>
        </w:rPr>
        <w:t>awards require certain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targets to be achieved in order for the award to vest</w:t>
      </w:r>
      <w:r>
        <w:rPr>
          <w:rFonts w:ascii="Times New Roman" w:cs="Times New Roman" w:eastAsia="Times New Roman" w:hAnsi="Times New Roman"/>
          <w:sz w:val="18"/>
          <w:szCs w:val="18"/>
          <w:color w:val="000000"/>
        </w:rPr>
        <w:t>. Vesting occurs on the date</w:t>
      </w:r>
      <w:r>
        <w:rPr>
          <w:rFonts w:ascii="Times New Roman" w:cs="Times New Roman" w:eastAsia="Times New Roman" w:hAnsi="Times New Roman"/>
          <w:sz w:val="18"/>
          <w:szCs w:val="18"/>
          <w:color w:val="212529"/>
        </w:rPr>
        <w:t xml:space="preserve"> of achievement of the performance target. Forfeitures are accounted for as incurred.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12529"/>
        </w:rPr>
        <w:t>Market-Based Awards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Share-based compensation expense for market-based awards is recognized on a straight-line basis over the requisite service period, regardless of whether the market condition has been satisfied. Market-based PSU awards vest upon the achievement of the performance target. </w:t>
      </w:r>
      <w:r>
        <w:rPr>
          <w:rFonts w:ascii="Times New Roman" w:cs="Times New Roman" w:eastAsia="Times New Roman" w:hAnsi="Times New Roman"/>
          <w:sz w:val="18"/>
          <w:szCs w:val="18"/>
          <w:color w:val="212529"/>
        </w:rPr>
        <w:t>Forfeitures are accounted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 as incurred.</w:t>
      </w:r>
    </w:p>
    <w:p>
      <w:pPr>
        <w:spacing w:after="0" w:line="13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these awards as of the grant date using a Monte Carlo simulation that incorporates option-pricing inputs. This simulation covers the period from the grant date through the end of the derived requisite service period. Volatility as of the grant date is estimated based on historical daily volatility of the Company's common stock over a period of time, which is equivalent to the expected term of the award. The risk-free interest rate is based on the U.S. Treasury Note rate, as of the week, the award is issued, with a duration that most closely resembles the expected term of the award.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considering whether there is an identified asset, and the contract conveys the right to control its use. Leases with an initial term of 12 months or less are not recorded on the balance sheet. Right-of-use (ROU) assets and lease liabilities are recognized at the commencement date based on the present value of remaining lease payments over the lease term. For this purpose, the Company considers only payments that are fixed and determinable at the time of commencement. The Company calculates the present value of future payments by using an estimated incremental borrowing rate, which approximates the rate at which the Company would borrow, on a secured basis and over a similar term. This rate is estimated based on information available at the commencement date of the lease and may differ for individual leases or portfolios of leased assets. Additionally, for certain equipment leases, the Company applies a portfolio approach to effectively account for the operating lease ROU assets and lease liabilities.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expected lease term and recognized as an operating cost.</w:t>
      </w:r>
    </w:p>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Some of the Company's leases include options to terminate prior to the end of the lease term or to extend the lease for one or more years. These options are included in the lease term when it is reasonably certain that the option will be exercised.</w:t>
      </w:r>
    </w:p>
    <w:p>
      <w:pPr>
        <w:spacing w:after="0" w:line="12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Company's lease agreements may contain variable costs such as common area maintenance, insurance, real estate taxes, or other costs. Variable lease costs are expensed as incurred on the consolidated statements of earnings. The Company's lease agreements generally do not contain any material residual value guarantees or material restrictive covenants.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20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Advertising expense includes the cost of promotional materials and activities, such as print materials and digital marketing, marketing programs and speaker programs. The cost of the Company's advertising efforts are expensed as incurred.</w:t>
      </w:r>
    </w:p>
    <w:p>
      <w:pPr>
        <w:spacing w:after="0" w:line="12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approximately $88.5 million, $99.7 million, and $131.7 million in advertising expense for the years ended December 31, 2024, 2023, and 2022, respectively. These expenses are recorded as a component of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consolidated statements of earnings.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Recoveries</w:t>
      </w:r>
    </w:p>
    <w:p>
      <w:pPr>
        <w:spacing w:after="0" w:line="20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has several policies with third-party insurers that provide for the recovery of certain costs incurred by the Company. The Company records our rights to insurance recoveries as a receivable when the respective costs are reimbursable under applicable insurance policies, it is probable that such costs will be reimbursed, and reimbursement can be reasonably estimated. As such, the Company estimates the percentage of costs that will be reimbursed by the insurance provider to determine the amount to record for the insurance recovery receivable.</w:t>
      </w:r>
    </w:p>
    <w:p>
      <w:pPr>
        <w:spacing w:after="0" w:line="13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recorded approximately $14.2 million of insurance recoveries during the year ended December 31, 2024. There were no insurance recoveries during the years ended December 31, 2023 and 2022, respectively. To date, there have not been any material adjustments to our prior estimates of the insurance recovery receivable. Insurance recoveries recognized in fiscal year 2024 were recorded as a reduction to </w:t>
      </w:r>
      <w:r>
        <w:rPr>
          <w:rFonts w:ascii="Times New Roman" w:cs="Times New Roman" w:eastAsia="Times New Roman" w:hAnsi="Times New Roman"/>
          <w:sz w:val="18"/>
          <w:szCs w:val="18"/>
          <w:i w:val="1"/>
          <w:iCs w:val="1"/>
          <w:color w:val="auto"/>
        </w:rPr>
        <w:t>Selling, 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expenses</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included the amortization of deferred financing costs and debt discount incurred by the Company in connection with the issuance of $402.5 million of 0.625% Convertible Senior Notes which were due and paid in 2023 (see Note 15,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The Company amortized deferred financing costs and debt discounts over the term of the debt, using the effective interest method. Interest expense also includes stated interest in connection with the Company's debt instruments.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Under this method, deferred tax assets and deferred tax liabilities are determined based on differences between their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3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its consolidated financial statements when it is more-likely-than-not that the position will be sustained upon examination by the tax authorities. Such tax positions are initially and subsequently estimated as the largest amount of the tax benefit that has a greater than 50% likelihood of being realized upon ultimate settlement with the tax authorities, assuming full knowledge of the position and relevant facts.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policy is to recognize any interest and penalties related to income taxes as income tax expense in the relevant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18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January 1, 2024, the Company adopted Accounting Standards Update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w:t>
      </w:r>
      <w:r>
        <w:rPr>
          <w:rFonts w:ascii="Times New Roman" w:cs="Times New Roman" w:eastAsia="Times New Roman" w:hAnsi="Times New Roman"/>
          <w:sz w:val="18"/>
          <w:szCs w:val="18"/>
          <w:color w:val="auto"/>
        </w:rPr>
        <w:t>The new standard improves reportable segment disclosure requirements, primarily through enhanced disclosures about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expenses that are regularly provided to the chief operating decision maker. ASU 2023-07 also clarifies that entities with a single reportable segment are subject to both new and existing reporting requirements under Topic 280. See Note 13, </w:t>
      </w:r>
      <w:r>
        <w:rPr>
          <w:rFonts w:ascii="Times New Roman" w:cs="Times New Roman" w:eastAsia="Times New Roman" w:hAnsi="Times New Roman"/>
          <w:sz w:val="18"/>
          <w:szCs w:val="18"/>
          <w:i w:val="1"/>
          <w:iCs w:val="1"/>
          <w:color w:val="auto"/>
        </w:rPr>
        <w:t>Segment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8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(Topic 740) - The new standard, issued in December 2023, requires entities to disclose additional information with respect to the effective tax rate reconciliation and to disclose the disaggregation by jurisdiction of income tax expense and income taxes paid. The standard is effective with annual periods beginning after December 15, 2024, with early adoption permitted. The standard is to be applied on a prospective basis, although optional retrospective application is permitted. The Company plans to adopt the guidance for the fiscal year ending December 31, 2025. We expect ASU 2023-09 to require additional disclosures in the notes to our consolidated financial statements. The Company is currently evaluating the effects adoption of this guidance will have on the consolidated financial statements.</w:t>
      </w:r>
    </w:p>
    <w:p>
      <w:pPr>
        <w:spacing w:after="0" w:line="142"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ASU 2024-03, </w:t>
      </w:r>
      <w:r>
        <w:rPr>
          <w:rFonts w:ascii="Times New Roman" w:cs="Times New Roman" w:eastAsia="Times New Roman" w:hAnsi="Times New Roman"/>
          <w:sz w:val="18"/>
          <w:szCs w:val="18"/>
          <w:i w:val="1"/>
          <w:iCs w:val="1"/>
          <w:color w:val="151515"/>
        </w:rPr>
        <w:t>Disaggregation of Income Statement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51515"/>
        </w:rPr>
        <w:t>(Topic 220) - The new standard, issued in November 2024, requires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51515"/>
        </w:rPr>
        <w:t xml:space="preserve">disclosure in tabular format, about the nature of specific types of expense captions presented on the face of the income statement as well as disclosures about selling expenses. The new standard does not change the requirements for the presentation of expenses on the face of the income statement.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151515"/>
        </w:rPr>
        <w:t xml:space="preserve"> </w:t>
      </w:r>
      <w:r>
        <w:rPr>
          <w:rFonts w:ascii="Times New Roman" w:cs="Times New Roman" w:eastAsia="Times New Roman" w:hAnsi="Times New Roman"/>
          <w:sz w:val="18"/>
          <w:szCs w:val="18"/>
          <w:color w:val="000000"/>
        </w:rPr>
        <w:t>standard is effective with annual periods beginning after December 15, 2026. Early adoption and retrospective application are permitted. The Company plans to adopt the guidance for the fiscal year ending December 31, 2026. We expect ASU 2024-03 to require additional disclosures in the notes to our consolidated financial statements. The Company is currently evaluating the effects adoption of this guidance will have on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Final Climate Rule</w:t>
      </w:r>
    </w:p>
    <w:p>
      <w:pPr>
        <w:spacing w:after="0" w:line="173"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U.S. Securities and Exchange Commission (SEC) adopted the final rule under SEC Release No. 33-11275, </w:t>
      </w:r>
      <w:r>
        <w:rPr>
          <w:rFonts w:ascii="Times New Roman" w:cs="Times New Roman" w:eastAsia="Times New Roman" w:hAnsi="Times New Roman"/>
          <w:sz w:val="18"/>
          <w:szCs w:val="18"/>
          <w:i w:val="1"/>
          <w:iCs w:val="1"/>
          <w:color w:val="auto"/>
        </w:rPr>
        <w:t>The Enhancement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Standardization of Climate-Related Disclosures for Investors </w:t>
      </w:r>
      <w:r>
        <w:rPr>
          <w:rFonts w:ascii="Times New Roman" w:cs="Times New Roman" w:eastAsia="Times New Roman" w:hAnsi="Times New Roman"/>
          <w:sz w:val="18"/>
          <w:szCs w:val="18"/>
          <w:color w:val="auto"/>
        </w:rPr>
        <w:t>(Final Rule). This rule will require registrants to disclose certain climate-related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 registration statements and annual reports with staggered compliance dates for large accelerated filers for the various aspects of the Final Rule. On April 4, 2024, the SEC issued an order staying the Final Rule. The SEC’s administrative stay is expected to remain in place until the completion of litigation filed in various federal courts challenging, among other things, the agency’s authority to adopt the Final Rule. The Company is evaluating the final rule to determine its impact on the Company's disclosures.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Disaggregated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total revenues (dollars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6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241,273</w:t>
            </w:r>
          </w:p>
        </w:tc>
        <w:tc>
          <w:tcPr>
            <w:tcW w:w="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61,322</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GOCOVRI</w:t>
            </w: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130,824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104,421</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Oxtellar XR</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115,345</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APOKYN</w:t>
            </w: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75,305</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Trokendi XR</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261,221</w:t>
            </w:r>
          </w:p>
        </w:tc>
      </w:tr>
      <w:tr>
        <w:trPr>
          <w:trHeight w:val="230"/>
        </w:trPr>
        <w:tc>
          <w:tcPr>
            <w:tcW w:w="62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31,818</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637,696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649,432</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661,817</w:t>
            </w:r>
          </w:p>
        </w:tc>
        <w:tc>
          <w:tcPr>
            <w:tcW w:w="8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667,238</w:t>
            </w:r>
          </w:p>
        </w:tc>
      </w:tr>
      <w:tr>
        <w:trPr>
          <w:trHeight w:val="20"/>
        </w:trPr>
        <w:tc>
          <w:tcPr>
            <w:tcW w:w="6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180" w:hanging="172"/>
        <w:spacing w:after="0" w:line="212" w:lineRule="auto"/>
        <w:tabs>
          <w:tab w:leader="none" w:pos="180" w:val="left"/>
        </w:tabs>
        <w:numPr>
          <w:ilvl w:val="0"/>
          <w:numId w:val="6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1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 December 2023, the Company submitted to the FDA a notification of discontinuance to withdraw Osmolex ER from distribution.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Distribution of Osmolex ER ceased on April 1, 2024.</w:t>
      </w:r>
    </w:p>
    <w:p>
      <w:pPr>
        <w:spacing w:after="0" w:line="180"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recognized noncash royalty revenues of $4.0 million, and $9.8 million for the years ended December 31, 2023 and 2022, respectively. The Company no longer recognizes noncash royalty revenue as ownership of the royalty rights reverted back to the Company during the second quarter of 2023 (see Note 2, </w:t>
      </w:r>
      <w:r>
        <w:rPr>
          <w:rFonts w:ascii="Times New Roman" w:cs="Times New Roman" w:eastAsia="Times New Roman" w:hAnsi="Times New Roman"/>
          <w:sz w:val="18"/>
          <w:szCs w:val="18"/>
          <w:i w:val="1"/>
          <w:iCs w:val="1"/>
          <w:color w:val="auto"/>
        </w:rPr>
        <w:t>Summary of Significant Accounting Policies).</w:t>
      </w:r>
    </w:p>
    <w:p>
      <w:pPr>
        <w:spacing w:after="0" w:line="13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Adjustments related to prior year sales in 2024 was less than 3% of net product sales. The majority of the adjustment is attributable to Qelbree, reflecting favorable actual returns experienced in 2024. As a result, the Company changed its estimated provision for product returns based on the most recent experience. In 2023 and 2022, adjustments related to prior year sales have amounted to less than 1% of net product sales for each of the respective periods.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percentage of net product sales to total net product sales: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Net Product Sales</w:t>
            </w:r>
          </w:p>
        </w:tc>
        <w:tc>
          <w:tcPr>
            <w:tcW w:w="1280" w:type="dxa"/>
            <w:vAlign w:val="bottom"/>
          </w:tcPr>
          <w:p>
            <w:pPr>
              <w:spacing w:after="0"/>
              <w:rPr>
                <w:sz w:val="16"/>
                <w:szCs w:val="16"/>
                <w:color w:val="auto"/>
              </w:rPr>
            </w:pPr>
          </w:p>
        </w:tc>
      </w:tr>
      <w:tr>
        <w:trPr>
          <w:trHeight w:val="203"/>
        </w:trPr>
        <w:tc>
          <w:tcPr>
            <w:tcW w:w="6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Pr>
          <w:p>
            <w:pPr>
              <w:spacing w:after="0"/>
              <w:rPr>
                <w:sz w:val="17"/>
                <w:szCs w:val="17"/>
                <w:color w:val="auto"/>
              </w:rPr>
            </w:pPr>
          </w:p>
        </w:tc>
      </w:tr>
      <w:tr>
        <w:trPr>
          <w:trHeight w:val="23"/>
        </w:trPr>
        <w:tc>
          <w:tcPr>
            <w:tcW w:w="6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200" w:type="dxa"/>
            <w:vAlign w:val="bottom"/>
          </w:tcPr>
          <w:p>
            <w:pPr>
              <w:spacing w:after="0"/>
              <w:rPr>
                <w:sz w:val="16"/>
                <w:szCs w:val="16"/>
                <w:color w:val="auto"/>
              </w:rPr>
            </w:pPr>
          </w:p>
        </w:tc>
        <w:tc>
          <w:tcPr>
            <w:tcW w:w="128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40" w:type="dxa"/>
            <w:vAlign w:val="bottom"/>
            <w:gridSpan w:val="3"/>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Qelbree</w:t>
            </w:r>
          </w:p>
        </w:tc>
        <w:tc>
          <w:tcPr>
            <w:tcW w:w="1280" w:type="dxa"/>
            <w:vAlign w:val="bottom"/>
            <w:tcBorders>
              <w:top w:val="single" w:sz="8" w:color="auto"/>
            </w:tcBorders>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6"/>
              </w:rPr>
              <w:t>38%</w:t>
            </w:r>
          </w:p>
        </w:tc>
        <w:tc>
          <w:tcPr>
            <w:tcW w:w="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ind w:right="252"/>
              <w:spacing w:after="0"/>
              <w:rPr>
                <w:sz w:val="20"/>
                <w:szCs w:val="20"/>
                <w:color w:val="auto"/>
              </w:rPr>
            </w:pPr>
            <w:r>
              <w:rPr>
                <w:rFonts w:ascii="Times New Roman" w:cs="Times New Roman" w:eastAsia="Times New Roman" w:hAnsi="Times New Roman"/>
                <w:sz w:val="18"/>
                <w:szCs w:val="18"/>
                <w:color w:val="auto"/>
                <w:w w:val="91"/>
              </w:rPr>
              <w:t>9%</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GOCOVRI</w:t>
            </w:r>
          </w:p>
        </w:tc>
        <w:tc>
          <w:tcPr>
            <w:tcW w:w="128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20%</w:t>
            </w:r>
          </w:p>
        </w:tc>
        <w:tc>
          <w:tcPr>
            <w:tcW w:w="2040" w:type="dxa"/>
            <w:vAlign w:val="bottom"/>
            <w:gridSpan w:val="3"/>
          </w:tcPr>
          <w:p>
            <w:pPr>
              <w:jc w:val="center"/>
              <w:ind w:left="355"/>
              <w:spacing w:after="0"/>
              <w:rPr>
                <w:sz w:val="20"/>
                <w:szCs w:val="20"/>
                <w:color w:val="auto"/>
              </w:rPr>
            </w:pPr>
            <w:r>
              <w:rPr>
                <w:rFonts w:ascii="Times New Roman" w:cs="Times New Roman" w:eastAsia="Times New Roman" w:hAnsi="Times New Roman"/>
                <w:sz w:val="18"/>
                <w:szCs w:val="18"/>
                <w:color w:val="auto"/>
                <w:w w:val="96"/>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Oxtellar XR</w:t>
            </w:r>
          </w:p>
        </w:tc>
        <w:tc>
          <w:tcPr>
            <w:tcW w:w="128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6"/>
              </w:rPr>
              <w:t>16%</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252"/>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APOKYN</w:t>
            </w:r>
          </w:p>
        </w:tc>
        <w:tc>
          <w:tcPr>
            <w:tcW w:w="128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12%</w:t>
            </w:r>
          </w:p>
        </w:tc>
        <w:tc>
          <w:tcPr>
            <w:tcW w:w="2040" w:type="dxa"/>
            <w:vAlign w:val="bottom"/>
            <w:gridSpan w:val="3"/>
          </w:tcPr>
          <w:p>
            <w:pPr>
              <w:jc w:val="center"/>
              <w:ind w:left="355"/>
              <w:spacing w:after="0"/>
              <w:rPr>
                <w:sz w:val="20"/>
                <w:szCs w:val="20"/>
                <w:color w:val="auto"/>
              </w:rPr>
            </w:pPr>
            <w:r>
              <w:rPr>
                <w:rFonts w:ascii="Times New Roman" w:cs="Times New Roman" w:eastAsia="Times New Roman" w:hAnsi="Times New Roman"/>
                <w:sz w:val="18"/>
                <w:szCs w:val="18"/>
                <w:color w:val="auto"/>
                <w:w w:val="96"/>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Trokendi XR</w:t>
            </w:r>
          </w:p>
        </w:tc>
        <w:tc>
          <w:tcPr>
            <w:tcW w:w="128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6"/>
              </w:rPr>
              <w:t>10%</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252"/>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28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4%</w:t>
            </w:r>
          </w:p>
        </w:tc>
        <w:tc>
          <w:tcPr>
            <w:tcW w:w="2040" w:type="dxa"/>
            <w:vAlign w:val="bottom"/>
            <w:gridSpan w:val="3"/>
          </w:tcPr>
          <w:p>
            <w:pPr>
              <w:jc w:val="center"/>
              <w:ind w:left="355"/>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1"/>
              </w:rPr>
              <w:t>5%</w:t>
            </w:r>
          </w:p>
        </w:tc>
      </w:tr>
      <w:tr>
        <w:trPr>
          <w:trHeight w:val="24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bottom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center"/>
              <w:ind w:right="252"/>
              <w:spacing w:after="0"/>
              <w:rPr>
                <w:sz w:val="20"/>
                <w:szCs w:val="20"/>
                <w:color w:val="auto"/>
              </w:rPr>
            </w:pPr>
            <w:r>
              <w:rPr>
                <w:rFonts w:ascii="Times New Roman" w:cs="Times New Roman" w:eastAsia="Times New Roman" w:hAnsi="Times New Roman"/>
                <w:sz w:val="18"/>
                <w:szCs w:val="18"/>
                <w:color w:val="auto"/>
                <w:w w:val="99"/>
              </w:rPr>
              <w:t>100%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180" w:hanging="172"/>
        <w:spacing w:after="0" w:line="212" w:lineRule="auto"/>
        <w:tabs>
          <w:tab w:leader="none" w:pos="180"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Unrestricted available-for-sale marketable securities held by the Company are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U.S. government agency and municipal debt securities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Amortized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197,153</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unrealized gains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Gross unrealized losses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196,437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all of our unrestricted available-for-sale marketable securities have contractual maturities of one year or less.</w:t>
      </w:r>
    </w:p>
    <w:p>
      <w:pPr>
        <w:spacing w:after="0" w:line="198" w:lineRule="exact"/>
        <w:rPr>
          <w:sz w:val="20"/>
          <w:szCs w:val="20"/>
          <w:color w:val="auto"/>
        </w:rPr>
      </w:pPr>
    </w:p>
    <w:p>
      <w:pPr>
        <w:ind w:right="1680" w:firstLine="648"/>
        <w:spacing w:after="0" w:line="453" w:lineRule="auto"/>
        <w:rPr>
          <w:sz w:val="20"/>
          <w:szCs w:val="20"/>
          <w:color w:val="auto"/>
        </w:rPr>
      </w:pPr>
      <w:r>
        <w:rPr>
          <w:rFonts w:ascii="Times New Roman" w:cs="Times New Roman" w:eastAsia="Times New Roman" w:hAnsi="Times New Roman"/>
          <w:sz w:val="18"/>
          <w:szCs w:val="18"/>
          <w:color w:val="auto"/>
        </w:rPr>
        <w:t xml:space="preserve">There was no impairment on any available-for-sale marketable securities as of December 31, 2024 and December 31, 2023. </w:t>
      </w:r>
      <w:r>
        <w:rPr>
          <w:rFonts w:ascii="Times New Roman" w:cs="Times New Roman" w:eastAsia="Times New Roman" w:hAnsi="Times New Roman"/>
          <w:sz w:val="18"/>
          <w:szCs w:val="18"/>
          <w:i w:val="1"/>
          <w:iCs w:val="1"/>
          <w:color w:val="auto"/>
        </w:rPr>
        <w:t>Investment in Navitor</w:t>
      </w:r>
    </w:p>
    <w:p>
      <w:pPr>
        <w:spacing w:after="0" w:line="2"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7"/>
          <w:szCs w:val="17"/>
          <w:color w:val="auto"/>
        </w:rPr>
        <w:t>In April 2020, the Company entered into a development agreement (the Development Agreement) with Navitor Pharmaceuticals, Inc. (Navitor Inc.). The Company can terminate the Development Agreement upon 30 days' notice. Under the terms of the Development Agreement, the Company and Navitor Inc. will jointly conduct a Phase 2 clinical program for NV-5138 (SPN-820) for treatment-resistant depression. The Company will bear all of the Phase 1 and Phase 2 development costs incurred by either party, up to a maximum of $50 million, which amount could be increased under the terms of the Development Agreement upon Navitor Inc.’s request and the Company’s consent. In 2020, the Company paid a one-time, nonrefundable, and non-creditable fee of $10 million for the option to acquire or license NV-5138 (SPN-820) and made a $15 million equity investment representing approximately 13% ownership in Navitor Inc. There are also certain additional payments which could be incurred by the Company that are contingent upon Navitor Inc. achieving defined milestones. These payments include an additional license or acquisition fee depending on whether the Company ultimately licenses or acquires NV-5138 (SPN-820), and subsequent clinical, regulatory and sales milestone payments. The total payments, exclusive of the royalty payments on net sales of NV-5138 (SPN-820) and development costs paid by the Company under the agreement, have the potential to reach $410 million to</w:t>
      </w:r>
    </w:p>
    <w:p>
      <w:pPr>
        <w:spacing w:after="0" w:line="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$475 million, which includes an aggregate upfront payment of $25 million paid in 2020 for the option to acquire or license NV-5138 (SPN-820) and the equity investment, an additional license or acquisition fee depending on whether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200" w:lineRule="exact"/>
        <w:rPr>
          <w:sz w:val="20"/>
          <w:szCs w:val="20"/>
          <w:color w:val="auto"/>
        </w:rPr>
      </w:pPr>
    </w:p>
    <w:p>
      <w:pPr>
        <w:spacing w:after="0" w:line="29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Company ultimately licenses or acquires NV-5138 (SPN-820), and subsequent clinical, regulatory and sales based milestone payments. The Company also will have the first right of refusal for any compound with a similar mechanism of action to NV-5138 (SPN-820) on mTORC1 in the central nervous system.</w:t>
      </w:r>
    </w:p>
    <w:p>
      <w:pPr>
        <w:spacing w:after="0" w:line="9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addition to entering into the Development Agreement in April 2020, as mentioned above , the Company acquired Series D Preferred Shares of Navitor Inc. (the Navitor Shares), an equity investment representing an approximately 13% ownership position in Navitor Inc. As part of a legal restructuring in March 2021, the Company's Navitor Inc. Shares were exchanged for membership interests in Navitor Pharmaceutics LLC (Navitor LLC), which became the sole shareholder of Navitor Inc. The Company has determined that although Navitor LLC is a VIE, the Company does not consolidate the results of this VIE into its financial results because the Company lacks the power to direct the activities that most significantly impact Navitor LLC’s economic performance.</w:t>
      </w:r>
    </w:p>
    <w:p>
      <w:pPr>
        <w:spacing w:after="0" w:line="16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2024, the Company consented to payment of additional Phase 2 development costs for NV-5138 (SPN-820) as they are incurred, but reserves the right to terminate payment of future development costs at its discretion.</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maximum exposure to losses related to Navitor LLC includes the approximately $50.0 million for Phase 1 and Phase 2 development of NV-5138 (SPN-820) already paid by the Company, plus the cost of other development and formulation activities provided by the Company and additional Phase 2 development costs the Company agreed to pay pursuant to the Development Agreement.</w:t>
      </w:r>
    </w:p>
    <w:p>
      <w:pPr>
        <w:spacing w:after="0" w:line="13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Subsequent to the Development Agreement entered into in 2020, no additional equity investment has been made or financing has been provided to Navitor Inc. or Navitor LLC.</w:t>
      </w:r>
    </w:p>
    <w:p>
      <w:pPr>
        <w:spacing w:after="0" w:line="13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The Company records its share of the results of Navitor LLC, a private company, on a quarter lag as the financial information of Navitor LLC is not available on a sufficiently timely basis for the Company to apply the equity method of accounting. In December 2021, Navitor LLC sold one of its subsidiaries and distributed cash to its members in accordance with each member's share of the proceeds from the sale. The Company received</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$12.9 million in December 2021 from Navitor LLC in connection with this sale. As the Company's policy is to record its share of the results in its equity method investment on a quarter lag as previously indicated, the Company recorded the cash amount received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consolidated balance sheets as of December 31, 2021. In the first quarter of 2022, the Company determined its estimated share of Navitor LLC's year-end 2021 earnings and recorded a gain of $12.9 million in </w:t>
      </w:r>
      <w:r>
        <w:rPr>
          <w:rFonts w:ascii="Times New Roman" w:cs="Times New Roman" w:eastAsia="Times New Roman" w:hAnsi="Times New Roman"/>
          <w:sz w:val="18"/>
          <w:szCs w:val="18"/>
          <w:i w:val="1"/>
          <w:iCs w:val="1"/>
          <w:color w:val="auto"/>
        </w:rPr>
        <w:t>Interest and other income, net</w:t>
      </w:r>
      <w:r>
        <w:rPr>
          <w:rFonts w:ascii="Times New Roman" w:cs="Times New Roman" w:eastAsia="Times New Roman" w:hAnsi="Times New Roman"/>
          <w:sz w:val="18"/>
          <w:szCs w:val="18"/>
          <w:color w:val="auto"/>
        </w:rPr>
        <w:t xml:space="preserve"> in the consolidated statement of earnings.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8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an asset or liability represents the price that would be received to sell an asset or paid to transfer a liability in an orderly transaction between unrelated market participants.</w:t>
      </w:r>
    </w:p>
    <w:p>
      <w:pPr>
        <w:spacing w:after="0" w:line="13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the fair value of assets and liabilities using a three level measurement hierarchy that prioritizes the inputs used to measure fair value. The fair value hierarchy consists of the following three levels:</w:t>
      </w:r>
    </w:p>
    <w:p>
      <w:pPr>
        <w:spacing w:after="0" w:line="121"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unadjusted quoted prices in active markets that are accessible at measurement date for identical assets.</w:t>
      </w:r>
    </w:p>
    <w:p>
      <w:pPr>
        <w:spacing w:after="0" w:line="184"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148"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using significant inputs that are unobservable in the market and inputs that reflect the Company’s own assumptions. These are based on the best information available, including the Company’s own data.</w:t>
      </w:r>
    </w:p>
    <w:p>
      <w:pPr>
        <w:spacing w:after="0" w:line="119" w:lineRule="exact"/>
        <w:rPr>
          <w:sz w:val="20"/>
          <w:szCs w:val="20"/>
          <w:color w:val="auto"/>
        </w:rPr>
      </w:pPr>
    </w:p>
    <w:p>
      <w:pPr>
        <w:ind w:left="340" w:right="5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fair value of the restricted marketable securities which are classified as Level 2 financial assets are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the consolidated balance sheets. There have been no transfers of assets or liabilities into or out of Level 3 of the fair value hierarchy.</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Assets and Liabilities Recorded at Fair Value on a Recurring Basis</w:t>
      </w:r>
    </w:p>
    <w:p>
      <w:pPr>
        <w:spacing w:after="0" w:line="198"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that are required to be measured at fair value on a recurring basis are as follows (dollars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 at</w:t>
            </w: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4"/>
                <w:szCs w:val="14"/>
                <w:color w:val="auto"/>
              </w:rPr>
            </w:pPr>
          </w:p>
        </w:tc>
        <w:tc>
          <w:tcPr>
            <w:tcW w:w="12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25"/>
        </w:trPr>
        <w:tc>
          <w:tcPr>
            <w:tcW w:w="4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0"/>
                <w:szCs w:val="10"/>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4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69,352</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 (Continued)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 at</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0"/>
                <w:szCs w:val="10"/>
                <w:color w:val="auto"/>
              </w:rPr>
            </w:pPr>
          </w:p>
        </w:tc>
        <w:tc>
          <w:tcPr>
            <w:tcW w:w="12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18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other financial instruments, including accounts receivable, accounts payable, and accrued expenses, approximate fair value due to their short-term maturities.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Contingent Consideration</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current and long-term portions related to the contingent consideration for the USWM Acquisition and Adamas Acquisition (as defined below)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under the following captions in the consolidated balance sheets: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long-term</w:t>
            </w:r>
          </w:p>
        </w:tc>
        <w:tc>
          <w:tcPr>
            <w:tcW w:w="2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48"/>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Company's contingent consideration liabilities are related to the USWM Acquisition in 2020 and the Adamas Acquisition in 2021. The contingent consideration liabilities are measured at fair value on a recurring basis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consolidated statement of earnings in </w:t>
      </w:r>
      <w:r>
        <w:rPr>
          <w:rFonts w:ascii="Times New Roman" w:cs="Times New Roman" w:eastAsia="Times New Roman" w:hAnsi="Times New Roman"/>
          <w:sz w:val="18"/>
          <w:szCs w:val="18"/>
          <w:i w:val="1"/>
          <w:iCs w:val="1"/>
          <w:color w:val="auto"/>
        </w:rPr>
        <w:t>Contingent consideration gain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Contingent Consideration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Contingent Consideration</w:t>
      </w:r>
    </w:p>
    <w:p>
      <w:pPr>
        <w:spacing w:after="0" w:line="187"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color w:val="auto"/>
        </w:rPr>
        <w:t>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As of December 31, 2024, the remaining potential contingent consideration payments are up to</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$55 million in regulatory and development milestones comprised of (1) $25 million related to the FDA's approval of the SPN-830 NDA and (2) $30 million related to the subsequent commercial product launch. In February 2025, the FDA approved ONAPGO (apomorphine hydrochloride) injection, formerly known as SPN-830, as the first and only subcutaneous apomorphine infusion device for the treatment of motor fluctuations in adults with advanced PD. ONAPGO will be launched in the second quarter of 2025. As such, the Company paid the $25 million milestone related to the FDA's approval of the SPN-830 NDA in February 2025, and expects the remaining $30 million milestones to be due and paid in 2025.</w:t>
      </w:r>
    </w:p>
    <w:p>
      <w:pPr>
        <w:spacing w:after="0" w:line="16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key assumptions considered in estimating the fair value include the estimated probability and timing of milestone achievement, such as the probability and timing of obtaining regulatory approval, and the discount rate.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Adamas Contingent Consideration</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November 24, 2021 (the Adamas Closing Date), the Company completed its acquisition of all the outstanding equity of Adamas (Adamas Acquisition). The Adamas Acquisition included payment of two non-tradable contingent value rights (CVRs) each of which represents the contractual right to receive a contingent payment upon the achievement of the applicable aggregate worldwide net product sales of GOCOVRI.</w:t>
      </w:r>
    </w:p>
    <w:p>
      <w:pPr>
        <w:spacing w:after="0" w:line="14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CVR agreement. One Milestone Payment is payable (subject to certain terms and conditions) upon the first occurrence of the achievement of aggregate worldwide net sales of GOCOVRI in excess of $150 million during any consecutive twelve-month period ending on or before December 31, 2024 (Milestone 2024). Another Milestone Payment is payable (subject to certain terms and conditions) upon the first occurrence of the achievement of aggregate worldwide net sales of GOCOVRI in excess of $225 million during any consecutive twelve-month period ending on or before December 31, 2025 (Milestone 2025 and, together with Milestone 2024, the Milestones). Each Milestone may only be achieved once.</w:t>
      </w:r>
    </w:p>
    <w:p>
      <w:pPr>
        <w:spacing w:after="0" w:line="15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2024 Milestone was not met and the possible outcomes for the remaining 2025 Milestone contingent consideration is $0 or $25.0 million on an undiscounted basis.</w:t>
      </w:r>
    </w:p>
    <w:p>
      <w:pPr>
        <w:spacing w:after="0" w:line="1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key assumptions considered in estimating the fair value of the Adamas sales-based milestones include the estimated revenue projections, volatility, estimated discount rates and risk-free interest rate.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Contingent Consideration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the Fair Value of Contingent Consideration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related to the contingent consideration liabilities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USWM Acquisition and Adamas Acquisition (dollars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USWM Acquisition</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Adamas Acquisition</w:t>
            </w:r>
          </w:p>
        </w:tc>
        <w:tc>
          <w:tcPr>
            <w:tcW w:w="38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80,477</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Milestone payments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54,967</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53,450</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47,340</w:t>
            </w: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the following changes in fair value of the contingent consideration liability for the USWM milestones:</w:t>
      </w:r>
    </w:p>
    <w:p>
      <w:pPr>
        <w:spacing w:after="0" w:line="198" w:lineRule="exact"/>
        <w:rPr>
          <w:sz w:val="20"/>
          <w:szCs w:val="20"/>
          <w:color w:val="auto"/>
        </w:rPr>
      </w:pPr>
    </w:p>
    <w:p>
      <w:pPr>
        <w:ind w:left="660" w:right="18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the Company recorded a $0.9 million expense which was primarily driven by passage of time, as well as the change in timing of milestone achievement and estimated discount rate.</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Company recorded a $0.1 million expense which was primarily driven by the passage of time and, as well as the change in timing of milestone achievement and estimated discount rate.</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the Company recorded a $1.1 million expense which was primarily driven by the passage of time and the accretion to the payout amount related to the milestone achieved in the first quarter of 2022.</w:t>
      </w:r>
    </w:p>
    <w:p>
      <w:pPr>
        <w:spacing w:after="0" w:line="13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paid $25 million of the USWM contingent consideration in the first quarter of 2022 of which $22.9 million represents the acquisition date fair value of the contingent consideration liability and was reported under cash flows from financing activities. The remaining $2.1 million represents the excess of the acquisition date fair value and was reported under cash flows from operating activities. The amount paid was for the milestone that was due upon the FDA acceptance of the SPN-830 NDA for review, which was achieved in the first quarter of 2022.</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the following changes in fair value of the contingent consideration liabilities for the Adamas CVRs:</w:t>
      </w:r>
    </w:p>
    <w:p>
      <w:pPr>
        <w:spacing w:after="0" w:line="185" w:lineRule="exact"/>
        <w:rPr>
          <w:sz w:val="20"/>
          <w:szCs w:val="20"/>
          <w:color w:val="auto"/>
        </w:rPr>
      </w:pPr>
    </w:p>
    <w:p>
      <w:pPr>
        <w:ind w:left="660" w:right="680" w:hanging="328"/>
        <w:spacing w:after="0" w:line="282" w:lineRule="auto"/>
        <w:tabs>
          <w:tab w:leader="none" w:pos="6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the Company recorded a $7.1 million gain which was primarily driven by the non achievement of Milestone 2024.</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Company recorded a $1.6 million gain primarily driven by the passage of time.</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the Company recorded $1.6 million gain which was primarily due to changes in market data and revenue projections.</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gross carrying amounts of goodwill (dollars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 (Continued)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117,019</w:t>
            </w: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goodwill impairment charges recognized in 2024 or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gross carrying amounts and related accumulated amortization of intangibles assets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9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Life</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Net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 Net</w:t>
            </w:r>
          </w:p>
        </w:tc>
        <w:tc>
          <w:tcPr>
            <w:tcW w:w="0" w:type="dxa"/>
            <w:vAlign w:val="bottom"/>
          </w:tcPr>
          <w:p>
            <w:pPr>
              <w:spacing w:after="0"/>
              <w:rPr>
                <w:sz w:val="1"/>
                <w:szCs w:val="1"/>
                <w:color w:val="auto"/>
              </w:rPr>
            </w:pPr>
          </w:p>
        </w:tc>
      </w:tr>
      <w:tr>
        <w:trPr>
          <w:trHeight w:val="160"/>
        </w:trPr>
        <w:tc>
          <w:tcPr>
            <w:tcW w:w="29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Acquired in-process research and</w:t>
            </w: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Intangible assets subject to</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Acquired developed technology and</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rights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470,916</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599,889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$78.0 million, $82.4 million, and $82.6 million for the years ended December 31, 2024, 2023, and 2022, respectively.</w:t>
      </w:r>
    </w:p>
    <w:p>
      <w:pPr>
        <w:spacing w:after="0" w:line="121"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Patent defense costs are deferred legal fees incurred in conjunction with defending patents for Oxtellar XR and Trokendi XR. U.S. patents covering Trokendi XR and Oxtellar XR will expire no earlier than 2027. The Company entered into settlement agreements that allowed third parties to enter the Trokendi XR market on January 1, 2023. The Company entered into settlement and license agreements that allowed a third party to enter the Oxtellar XR market in September 2024.</w:t>
      </w:r>
    </w:p>
    <w:p>
      <w:pPr>
        <w:spacing w:after="0" w:line="15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entered into settlement and license agreements that allows third parties to enter the XADAGO market in December 2027, or sooner under certain conditions.</w:t>
      </w:r>
    </w:p>
    <w:p>
      <w:pPr>
        <w:spacing w:after="0" w:line="12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recognized impairment charges of $20.2 million related to some of its acquired intangible assets, primarily XADAGO. The primary factors that led to the impairment determinations were the following: (1) the performance of the commercial products;</w:t>
      </w:r>
    </w:p>
    <w:p>
      <w:pPr>
        <w:ind w:right="120" w:firstLine="8"/>
        <w:spacing w:after="0" w:line="252"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forthcoming loss of exclusivity of XADAGO; and (3) the change in the Company's future outlook of the brands. The Company recognized as impairment loss the difference between the estimated fair values and carrying values of these intangible assets. The Company used the discounted cash flow income approach to estimate the fair values of each of these intangible assets. The primary inputs and assumptions used in the model included timing and projections of estimated future revenues and cash flows, loss of exclusivity, and discount rate. The fair value measurement is classified as Level 3 within the fair value hierarchy as defined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the unobservable inputs used. The impairment loss is reported as </w:t>
      </w:r>
      <w:r>
        <w:rPr>
          <w:rFonts w:ascii="Times New Roman" w:cs="Times New Roman" w:eastAsia="Times New Roman" w:hAnsi="Times New Roman"/>
          <w:sz w:val="18"/>
          <w:szCs w:val="18"/>
          <w:i w:val="1"/>
          <w:iCs w:val="1"/>
          <w:color w:val="auto"/>
        </w:rPr>
        <w:t xml:space="preserve">Intangible asset impairment charges </w:t>
      </w:r>
      <w:r>
        <w:rPr>
          <w:rFonts w:ascii="Times New Roman" w:cs="Times New Roman" w:eastAsia="Times New Roman" w:hAnsi="Times New Roman"/>
          <w:sz w:val="18"/>
          <w:szCs w:val="18"/>
          <w:color w:val="auto"/>
        </w:rPr>
        <w:t>in the consolidated statements of earnings.</w:t>
      </w:r>
    </w:p>
    <w:p>
      <w:pPr>
        <w:spacing w:after="0" w:line="14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anticipated annual amortization expense for definite-lived intangible assets. Actual amortization expense to be reported in future periods could differ from these estimates as a result of acquisitions, divestitures,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tcPr>
          <w:p>
            <w:pPr>
              <w:ind w:left="440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910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 (Continued)</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02"/>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impairments, among other factors (dollars in thousands):</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6"/>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Amortization Expense</w:t>
            </w:r>
          </w:p>
        </w:tc>
      </w:tr>
      <w:tr>
        <w:trPr>
          <w:trHeight w:val="23"/>
        </w:trPr>
        <w:tc>
          <w:tcPr>
            <w:tcW w:w="9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70,876</w:t>
            </w:r>
          </w:p>
        </w:tc>
      </w:tr>
      <w:tr>
        <w:trPr>
          <w:trHeight w:val="230"/>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70,876</w:t>
            </w: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70,745</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69,301</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69,301</w:t>
            </w:r>
          </w:p>
        </w:tc>
      </w:tr>
      <w:tr>
        <w:trPr>
          <w:trHeight w:val="234"/>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46,813</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0.625% Convertible Senior Notes Due 2023 (2023 Notes), which were issued in March 2018 with a total principal amount of $402.5 million and interest at an annual rate of 0.625%, payable semi-annually in arrears on April 1 and October 1 of each year. The 2023 Notes matured on April 1, 2023. On April 1, 2023, the Company paid the total principal amount due of $402.5 million under the 2023 Notes and the remaining outstanding interest due of $1.3 million. No 2023 Notes were converted.</w:t>
      </w:r>
    </w:p>
    <w:p>
      <w:pPr>
        <w:spacing w:after="0" w:line="13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Convertible Note Hedge Transactions were expected to reduce the potential dilution of the Company’s common stock upon conversion of the 2023 Notes, and/or offset any potential cash payments the Company would have been required to make in excess of the principal amount of converted 2023 Notes, as the case may be. The Convertible Note Hedges expired on March 30, 2023.</w:t>
      </w:r>
    </w:p>
    <w:p>
      <w:pPr>
        <w:spacing w:after="0" w:line="14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$80.91 per share of the Company’s common stock, and is subject to adjustment. The Warrant Transactions were intended to partially offset the cost to the Company of the purchased Convertible Note Hedge Transactions; however, the Warrant Transactions could have had a dilutive effect with respect to the Company’s common stock, to the extent that the market price per share of the Company’s common stock, as measured under the terms of the Warrant Transactions, exceeded the strike price of the warrants. The warrants expired unexercised on November 22,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Demand Secured Line of Credit</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8, 2023, the Company entered into a credit line agreement with UBS.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spacing w:after="0" w:line="156"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w:t>
      </w:r>
    </w:p>
    <w:p>
      <w:pPr>
        <w:spacing w:after="0" w:line="11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(Continued)</w:t>
      </w:r>
    </w:p>
    <w:p>
      <w:pPr>
        <w:spacing w:after="0" w:line="200" w:lineRule="exact"/>
        <w:rPr>
          <w:sz w:val="20"/>
          <w:szCs w:val="20"/>
          <w:color w:val="auto"/>
        </w:rPr>
      </w:pPr>
    </w:p>
    <w:p>
      <w:pPr>
        <w:spacing w:after="0" w:line="25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spacing w:after="0" w:line="14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March 30, 2023, the Company borrowed $93.0 million under the Credit Line, which bore a variable interest rate. The funds from this borrowing were used to repay outstanding indebtedness under the 2023 Notes as discussed above under the Convertible Senior Notes Due 2023. As of June 30, 2023, the Company repaid the total principal balance of $93.0 million under the Credit Line and the interest incurred on the Credit Line of $0.7 million. As of December 31, 2024, there was no outstanding debt under the Credit Line.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Payments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holders of the Company's common stock are entitled to one vote for each share of common stock held.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18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Company has adopted the Supernus Pharmaceuticals, Inc. 2021 Equity Incentive Plan (2021 Plan) which was approved by the stockholders in June 2021. The 2021 Plan is the successor to, and replaced the 2012 Equity Incentive Plan, as amended (the 2012 Plan). The 2021 Plan is administered by the Company's Board of Directors and the Company's Compensation Committee of the Board. The 2021 Plan provides for the grant of stock options and certain other equity awards, including: stock appreciation rights (SARs); restricted and unrestricted stock; stock units; performance awards; cash awards; and other awards that are convertible into or otherwise based on the Company's common stock, to the Company's key employees, directors, consultants, and advisors. On June 14, 2024, the Company's shareholders approved, and the Company has adopted, the Amended and Restated 2021 Equity Incentive Plan (the Amended 2021 Plan) to increase the number of shares of the Company's common stock available for issuance under the 2021 Plan by 4,000,000 shares. The maximum number of shares that can be issued under the Amended 2021 Plan is 15,012,893 shares of the Company's common stock which includes the (i) 4,000,000 shares added pursuant to the adoption of the Amended 2021 Plan, (ii) the number of shares that remain available to be issued or transferred pursuant to awards under the 2021 Equity Incentive Plan as of the adoption date of the Amended 2021 Plan, and (iii) the number of shares that have already been issued or transferred pursuant to awards under the 2021 Plan prior to the approval by the Company’s stockholders of the Amended 2021 Plan. Option awards are granted with an exercise price equal to the closing price of the Company's common stock as of the grant date. Options and awards granted have a ten year contractual term. Options and awards granted to employees, consultants and advisors generally vest in four equivalent annual installments, starting on the first anniversary of the grant's date. Options and awards granted to the directors generally vest over a one year term.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has adopted the Supernus Pharmaceuticals, Inc. 2012 Employee Stock Purchase Plan (as amended to date, the ESPP). The ESPP allows eligible employees the opportunity to acquire shares of the Company's common stock at periodic intervals through accumulated payroll deductions. These deductions are applied at the semi-annual purchase dates of June 30 and December 31 to purchase shares of common stock from the Company at a discount. Eligible employees may purchase shares at the lower of 85% of the fair market value at either the first day of the purchase period or the fair market value at the end of the purchase period. The ESPP provides for the issuance of up to 1,700,000 shares of the Company's common stock. The Company records compensation expense related to its ESPP.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Payments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expense is as follows (dollars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14,646</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Stock Option</w:t>
            </w: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82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activities: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3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5,797,569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53,650</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1,204,643</w:t>
            </w:r>
          </w:p>
        </w:tc>
        <w:tc>
          <w:tcPr>
            <w:tcW w:w="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(258,154)</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(160,236)</w:t>
            </w:r>
          </w:p>
        </w:tc>
        <w:tc>
          <w:tcPr>
            <w:tcW w:w="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3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6,583,822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0" w:type="dxa"/>
            <w:vAlign w:val="bottom"/>
          </w:tcPr>
          <w:p>
            <w:pPr>
              <w:spacing w:after="0"/>
              <w:rPr>
                <w:sz w:val="1"/>
                <w:szCs w:val="1"/>
                <w:color w:val="auto"/>
              </w:rPr>
            </w:pPr>
          </w:p>
        </w:tc>
      </w:tr>
      <w:tr>
        <w:trPr>
          <w:trHeight w:val="229"/>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1,206,812</w:t>
            </w:r>
          </w:p>
        </w:tc>
        <w:tc>
          <w:tcPr>
            <w:tcW w:w="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(781,441)</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(290,120)</w:t>
            </w:r>
          </w:p>
        </w:tc>
        <w:tc>
          <w:tcPr>
            <w:tcW w:w="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6,719,073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6,719,073</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0" w:type="dxa"/>
            <w:vAlign w:val="bottom"/>
          </w:tcPr>
          <w:p>
            <w:pPr>
              <w:spacing w:after="0"/>
              <w:rPr>
                <w:sz w:val="1"/>
                <w:szCs w:val="1"/>
                <w:color w:val="auto"/>
              </w:rPr>
            </w:pPr>
          </w:p>
        </w:tc>
      </w:tr>
      <w:tr>
        <w:trPr>
          <w:trHeight w:val="234"/>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4,137,283</w:t>
            </w:r>
          </w:p>
        </w:tc>
        <w:tc>
          <w:tcPr>
            <w:tcW w:w="8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30,396</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for the years ended December 31, 2024, 2023, and 2022 were $16.57, $21.30, and $18.10 per share, respectively.</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shares exercised for the years ended December 31, 2024, 2023, and 2022 were $14.4 million, $5.1 million, and $16.3 million, respectively.</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options exercised for the years ended December 31, 2024, 2023, and 2022 were $6.8 million, $4.3 million, and $10.4 million, respectively.</w:t>
      </w:r>
    </w:p>
    <w:p>
      <w:pPr>
        <w:spacing w:after="0" w:line="13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the underlying common stock related to options that vested during the years ended December 31, 2024, 2023, and 2022 were approximately $16.7 million, $14.8 million, and $13.9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Payments (Continued)</w:t>
      </w:r>
    </w:p>
    <w:p>
      <w:pPr>
        <w:spacing w:after="0" w:line="200" w:lineRule="exact"/>
        <w:rPr>
          <w:sz w:val="20"/>
          <w:szCs w:val="20"/>
          <w:color w:val="auto"/>
        </w:rPr>
      </w:pPr>
    </w:p>
    <w:p>
      <w:pPr>
        <w:spacing w:after="0" w:line="29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the grant, using the Black-Scholes option-pricing model and the assumptions in the following table: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r>
      <w:tr>
        <w:trPr>
          <w:trHeight w:val="190"/>
        </w:trPr>
        <w:tc>
          <w:tcPr>
            <w:tcW w:w="464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gridSpan w:val="2"/>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$36.16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$38.60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$35.23</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- 56.55%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- 58.22%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- 60.15%</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4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5.77 years - 7.91 years</w:t>
            </w:r>
          </w:p>
        </w:tc>
        <w:tc>
          <w:tcPr>
            <w:tcW w:w="2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5.60 years - 7.03 years</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5.58 years - 6.72 years</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- 3.70%</w:t>
            </w:r>
          </w:p>
        </w:tc>
      </w:tr>
    </w:tbl>
    <w:p>
      <w:pPr>
        <w:spacing w:after="0" w:line="25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expense was approximately $37.4 million. The Company expects to prospectively recognize these expenses over a weighted-average period of 2.5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(RSU) activities: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640" w:type="dxa"/>
            <w:vAlign w:val="bottom"/>
            <w:vMerge w:val="restart"/>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540" w:type="dxa"/>
            <w:vAlign w:val="bottom"/>
          </w:tcPr>
          <w:p>
            <w:pPr>
              <w:jc w:val="center"/>
              <w:ind w:right="4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540" w:type="dxa"/>
            <w:vAlign w:val="bottom"/>
          </w:tcPr>
          <w:p>
            <w:pPr>
              <w:jc w:val="center"/>
              <w:ind w:right="475"/>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8"/>
        </w:trPr>
        <w:tc>
          <w:tcPr>
            <w:tcW w:w="456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RSUs</w:t>
            </w: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jc w:val="center"/>
              <w:ind w:right="475"/>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0" w:type="dxa"/>
            <w:vAlign w:val="bottom"/>
          </w:tcPr>
          <w:p>
            <w:pPr>
              <w:spacing w:after="0"/>
              <w:rPr>
                <w:sz w:val="1"/>
                <w:szCs w:val="1"/>
                <w:color w:val="auto"/>
              </w:rPr>
            </w:pPr>
          </w:p>
        </w:tc>
      </w:tr>
      <w:tr>
        <w:trPr>
          <w:trHeight w:val="22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2022</w:t>
            </w:r>
          </w:p>
        </w:tc>
        <w:tc>
          <w:tcPr>
            <w:tcW w:w="16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29"/>
        </w:trPr>
        <w:tc>
          <w:tcPr>
            <w:tcW w:w="6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227,980</w:t>
            </w: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(47,049)</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0" w:type="dxa"/>
            <w:vAlign w:val="bottom"/>
          </w:tcPr>
          <w:p>
            <w:pPr>
              <w:spacing w:after="0"/>
              <w:rPr>
                <w:sz w:val="1"/>
                <w:szCs w:val="1"/>
                <w:color w:val="auto"/>
              </w:rPr>
            </w:pPr>
          </w:p>
        </w:tc>
      </w:tr>
      <w:tr>
        <w:trPr>
          <w:trHeight w:val="230"/>
        </w:trPr>
        <w:tc>
          <w:tcPr>
            <w:tcW w:w="6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16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300,141</w:t>
            </w:r>
          </w:p>
        </w:tc>
        <w:tc>
          <w:tcPr>
            <w:tcW w:w="660" w:type="dxa"/>
            <w:vAlign w:val="bottom"/>
            <w:tcBorders>
              <w:top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30"/>
        </w:trPr>
        <w:tc>
          <w:tcPr>
            <w:tcW w:w="6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198,414</w:t>
            </w: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(100,891)</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660" w:type="dxa"/>
            <w:vAlign w:val="bottom"/>
            <w:tcBorders>
              <w:bottom w:val="single" w:sz="8" w:color="CCEEFF"/>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43"/>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378,165</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total aggregate grant date fair value of RSUs that vested during the years ended December 31, 2024, 2023, and 2022 were $3.7 million, $1.5 million, and $0.6 million, respectively.</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expense was $8.4 million. The Company expects to prospectively recognize these expenses over a weighted-average period of 2.4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Payments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performance share unit (PSU) activities: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28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Performance-Based PSUs</w:t>
            </w:r>
          </w:p>
        </w:tc>
        <w:tc>
          <w:tcPr>
            <w:tcW w:w="28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Market-Based Units</w:t>
            </w:r>
          </w:p>
        </w:tc>
        <w:tc>
          <w:tcPr>
            <w:tcW w:w="2720" w:type="dxa"/>
            <w:vAlign w:val="bottom"/>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Total PSUs</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3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3"/>
        </w:trPr>
        <w:tc>
          <w:tcPr>
            <w:tcW w:w="28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324,685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total aggregate grant date fair value of PSUs that vested during the years ended December 31, 2024, 2023, and 2022 were $3.9 million, $4.1 million, and $1.0 million, respectively.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187" w:lineRule="exact"/>
        <w:rPr>
          <w:sz w:val="20"/>
          <w:szCs w:val="20"/>
          <w:color w:val="auto"/>
        </w:rPr>
      </w:pPr>
    </w:p>
    <w:p>
      <w:pPr>
        <w:ind w:right="360" w:firstLine="648"/>
        <w:spacing w:after="0" w:line="289" w:lineRule="auto"/>
        <w:rPr>
          <w:sz w:val="20"/>
          <w:szCs w:val="20"/>
          <w:color w:val="auto"/>
        </w:rPr>
      </w:pPr>
      <w:r>
        <w:rPr>
          <w:rFonts w:ascii="Times New Roman" w:cs="Times New Roman" w:eastAsia="Times New Roman" w:hAnsi="Times New Roman"/>
          <w:sz w:val="17"/>
          <w:szCs w:val="17"/>
          <w:color w:val="auto"/>
        </w:rPr>
        <w:t>The performance-based PSU awards require certain performance targets to be achieved in order to vest. Vesting is also subject to continued service requirements through the date the achievement of the performance target is certified. As of December 31, 2024, the total unrecognized compensation expense was $6.1 million. The Company expects to prospectively recognize these expenses over a weighted-average period of 0.8 years.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Market-Based Awards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market-based PSU awards are subject to achievement of market-based performance targets in order to vest. The Company used a Monte-Carlo Simulation to determine the fair value and expected term of the awards as of grant date. There was no unrecognized compensation expense as of December 31, 2024. The expected term of the awards granted in 2021 was 0.9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0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calculated using the weighted average number of common shares outstanding. Diluted EPS is calculated using the weighted average number of common shares outstanding, including the dilutive effect of the Company’s stock options, stock awards, and employee stock purchase plan (ESPP) awards using the treasury-stock method, and the 2023 Notes using the if-converted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 (Continued)</w:t>
      </w:r>
    </w:p>
    <w:p>
      <w:pPr>
        <w:spacing w:after="0" w:line="200" w:lineRule="exact"/>
        <w:rPr>
          <w:sz w:val="20"/>
          <w:szCs w:val="20"/>
          <w:color w:val="auto"/>
        </w:rPr>
      </w:pPr>
    </w:p>
    <w:p>
      <w:pPr>
        <w:spacing w:after="0" w:line="29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EPS for the years ended December 31, 2024, 2023 and 2022 (dollars in thousands, except share and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6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60,711</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After-tax interest expense for 2023 Notes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Numerator for dilutive earnings per share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64,267</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620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55,100,063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54,536,281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53,665,143</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options and stock awards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858,474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1,230,721</w:t>
            </w:r>
          </w:p>
        </w:tc>
      </w:tr>
      <w:tr>
        <w:trPr>
          <w:trHeight w:val="230"/>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Convertible notes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6,783,936</w:t>
            </w: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55,958,537</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55,506,828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61,679,800</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Convertible Notes and Related Convertible Note Hedges and Warrants</w:t>
      </w:r>
    </w:p>
    <w:p>
      <w:pPr>
        <w:spacing w:after="0" w:line="200"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issuance of the 2023 Notes, the Company entered into Convertible Note Hedge and Warrant Transactions as described further in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$80.91 per share.</w:t>
      </w:r>
    </w:p>
    <w:p>
      <w:pPr>
        <w:spacing w:after="0" w:line="13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Convertible Note Hedge and Warrant Transactions are excluded in the calculation of diluted EPS because inclusion would be anti-dilutive. Specifically, the denominator of the diluted EPS calculation excludes the additional shares related to the warrants because the average price of the Company's common stock was less than the strike price of the warrants of $80.91 per share. Prior to actual conversion, the Convertible Note Hedge Transactions are not considered in calculating diluted EPS, as their impact would be anti-dilutive.</w:t>
      </w:r>
    </w:p>
    <w:p>
      <w:pPr>
        <w:spacing w:after="0" w:line="139" w:lineRule="exact"/>
        <w:rPr>
          <w:sz w:val="20"/>
          <w:szCs w:val="20"/>
          <w:color w:val="auto"/>
        </w:rPr>
      </w:pPr>
    </w:p>
    <w:p>
      <w:pPr>
        <w:jc w:val="both"/>
        <w:ind w:right="80" w:firstLine="648"/>
        <w:spacing w:after="0" w:line="263" w:lineRule="auto"/>
        <w:rPr>
          <w:sz w:val="20"/>
          <w:szCs w:val="20"/>
          <w:color w:val="auto"/>
        </w:rPr>
      </w:pPr>
      <w:r>
        <w:rPr>
          <w:rFonts w:ascii="Times New Roman" w:cs="Times New Roman" w:eastAsia="Times New Roman" w:hAnsi="Times New Roman"/>
          <w:sz w:val="18"/>
          <w:szCs w:val="18"/>
          <w:color w:val="auto"/>
        </w:rPr>
        <w:t>In addition to the above described effect of the Convertible Note Hedge and Warrant Transactions, the Company also excluded the common stock equivalents of the following outstanding stock-based awards and shares associated with the conversion of the 2023 Notes in the calculation of diluted EPS, because their inclusion would be anti-dilutive:</w:t>
      </w:r>
    </w:p>
    <w:p>
      <w:pPr>
        <w:spacing w:after="0" w:line="2"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w:t>
            </w: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601,684</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543,140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373,728</w:t>
            </w:r>
          </w:p>
        </w:tc>
      </w:tr>
      <w:tr>
        <w:trPr>
          <w:trHeight w:val="23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1,691,337</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15"/>
        </w:trPr>
        <w:tc>
          <w:tcPr>
            <w:tcW w:w="6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 Expense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summary of the income tax expense for the years ended December 31, 2024, 2023, and 2022 is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29"/>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(19,527)</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80" w:firstLine="648"/>
        <w:spacing w:after="0" w:line="270" w:lineRule="auto"/>
        <w:rPr>
          <w:sz w:val="20"/>
          <w:szCs w:val="20"/>
          <w:color w:val="auto"/>
        </w:rPr>
      </w:pPr>
      <w:r>
        <w:rPr>
          <w:rFonts w:ascii="Times New Roman" w:cs="Times New Roman" w:eastAsia="Times New Roman" w:hAnsi="Times New Roman"/>
          <w:sz w:val="18"/>
          <w:szCs w:val="18"/>
          <w:color w:val="auto"/>
        </w:rPr>
        <w:t>A reconciliation of income tax expense at the U.S. federal statutory income tax rate to annual income tax expense at the Company's effective tax rate is as follows (dollars in thousands):</w:t>
      </w: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computed at U.S. federal statutory income tax rate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20" w:type="dxa"/>
            <w:vAlign w:val="bottom"/>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20" w:type="dxa"/>
            <w:vAlign w:val="bottom"/>
          </w:tcPr>
          <w:p>
            <w:pPr>
              <w:spacing w:after="0"/>
              <w:rPr>
                <w:sz w:val="19"/>
                <w:szCs w:val="19"/>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9"/>
                <w:szCs w:val="19"/>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income tax position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0" w:type="dxa"/>
            <w:vAlign w:val="bottom"/>
          </w:tcPr>
          <w:p>
            <w:pPr>
              <w:spacing w:after="0"/>
              <w:rPr>
                <w:sz w:val="19"/>
                <w:szCs w:val="19"/>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20" w:type="dxa"/>
            <w:vAlign w:val="bottom"/>
          </w:tcPr>
          <w:p>
            <w:pPr>
              <w:spacing w:after="0"/>
              <w:rPr>
                <w:sz w:val="19"/>
                <w:szCs w:val="19"/>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19"/>
                <w:szCs w:val="19"/>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80"/>
        </w:trPr>
        <w:tc>
          <w:tcPr>
            <w:tcW w:w="7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components of the Company's deferred income tax assets (liabilities) are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101,325</w:t>
            </w: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22,150</w:t>
            </w: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 and stock based compensation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15,613</w:t>
            </w: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29,953</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w:t>
            </w:r>
          </w:p>
        </w:tc>
      </w:tr>
      <w:tr>
        <w:trPr>
          <w:trHeight w:val="223"/>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192,170</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(60,866)</w:t>
            </w:r>
          </w:p>
        </w:tc>
      </w:tr>
      <w:tr>
        <w:trPr>
          <w:trHeight w:val="223"/>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 net of valuation allowance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131,304</w:t>
            </w: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(144,327)</w:t>
            </w:r>
          </w:p>
        </w:tc>
      </w:tr>
      <w:tr>
        <w:trPr>
          <w:trHeight w:val="229"/>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r>
      <w:tr>
        <w:trPr>
          <w:trHeight w:val="230"/>
        </w:trPr>
        <w:tc>
          <w:tcPr>
            <w:tcW w:w="8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w:t>
            </w:r>
          </w:p>
        </w:tc>
      </w:tr>
      <w:tr>
        <w:trPr>
          <w:trHeight w:val="223"/>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(156,267)</w:t>
            </w: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(24,963)</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income tax assets, the Company considers whether it is more-likely-than-not that some or all of the deferred income tax assets will not be realized. The ultimate realization of the deferred income tax assets is dependent upon the generation of future taxable income during the periods in which the net operating loss (NOL) is available. The Company considers projected future taxable income, the scheduled reversal of deferred income tax liabilities, and available tax planning strategies that can be implemented by the Company in making this assessment. Based upon the level of historical taxable income and projections for future taxable income over the periods in which the NOL and credit carryforwards are available to reduce income taxes payable, management had determined it is not more-likely-than-not to realize all such net deferred tax assets.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deferred tax asset valuation allowance is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70,529</w:t>
            </w:r>
          </w:p>
        </w:tc>
      </w:tr>
      <w:tr>
        <w:trPr>
          <w:trHeight w:val="230"/>
        </w:trPr>
        <w:tc>
          <w:tcPr>
            <w:tcW w:w="7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Acquisition Accounting</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(9,061)</w:t>
            </w:r>
          </w:p>
        </w:tc>
      </w:tr>
      <w:tr>
        <w:trPr>
          <w:trHeight w:val="24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487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59" w:lineRule="exact"/>
        <w:rPr>
          <w:sz w:val="20"/>
          <w:szCs w:val="20"/>
          <w:color w:val="auto"/>
        </w:rPr>
      </w:pPr>
    </w:p>
    <w:p>
      <w:pPr>
        <w:ind w:left="180" w:hanging="172"/>
        <w:spacing w:after="0"/>
        <w:tabs>
          <w:tab w:leader="none" w:pos="180" w:val="left"/>
        </w:tabs>
        <w:numPr>
          <w:ilvl w:val="0"/>
          <w:numId w:val="6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comprised principally of acquisitions and purchase accounting adjustments in connect with acquisitions</w:t>
      </w:r>
    </w:p>
    <w:p>
      <w:pPr>
        <w:spacing w:after="0" w:line="16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 net valuation allowance addition of $5.9 million for the year ended December 31, 2024. The valuation allowance is primarily related to federal and state net operating losses carryforwards acquired from the Adamas Acquisition that are not expected to be realizable in the future.</w:t>
      </w:r>
    </w:p>
    <w:p>
      <w:pPr>
        <w:spacing w:after="0" w:line="13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has NOL carryforwards in several jurisdictions. Due to changes in the Company's ownership, the utilization of net operating loss carryforwards that can be used to offset future taxable income are subject to annual limits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 (Continued)</w:t>
      </w:r>
    </w:p>
    <w:p>
      <w:pPr>
        <w:spacing w:after="0" w:line="200" w:lineRule="exact"/>
        <w:rPr>
          <w:sz w:val="20"/>
          <w:szCs w:val="20"/>
          <w:color w:val="auto"/>
        </w:rPr>
      </w:pPr>
    </w:p>
    <w:p>
      <w:pPr>
        <w:spacing w:after="0" w:line="29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accordance with Internal Revenue Code (IRC) provisions, as well as similar state provisions. In addition, states may also impose other future limitations through state legislation or similar measures. Despite the NOL carryforwards, the Company may incur higher state income tax expense in the future.</w:t>
      </w:r>
    </w:p>
    <w:p>
      <w:pPr>
        <w:spacing w:after="0" w:line="135" w:lineRule="exact"/>
        <w:rPr>
          <w:sz w:val="20"/>
          <w:szCs w:val="20"/>
          <w:color w:val="auto"/>
        </w:rPr>
      </w:pPr>
    </w:p>
    <w:p>
      <w:pPr>
        <w:jc w:val="both"/>
        <w:ind w:right="7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U.S. federal and state NOL carryforwards amounted to approximately $340.6 million and $467.0 million, respectively, which will expire in various years beginning in 2031. For the year ended December 31, 2024, the Company utilized federal NOLs of approximately $33.5 million and state NOLs of approximately $17.1 million.</w:t>
      </w:r>
    </w:p>
    <w:p>
      <w:pPr>
        <w:spacing w:after="0" w:line="13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prior to 2021 with the exception that operating loss or tax credit carryforwards generated prior to 2021 may be subject to tax audit adjustment.</w:t>
      </w:r>
    </w:p>
    <w:p>
      <w:pPr>
        <w:spacing w:after="0" w:line="119"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uncertain income tax positions pursuant to the guidance in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The Company recognizes interest and penalties related to uncertain tax positions, if any, in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Some uncertain income tax position liabilities have been recorded against the Company's deferred income tax assets to offset such tax attribute carryforwards and other positions that cannot be offset by tax attributes until liability has been booked.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is as follows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related to current year tax positions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increases related to prior year tax positions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decreases related to prior year tax positions</w:t>
            </w: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8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5,840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w:t>
            </w:r>
          </w:p>
        </w:tc>
      </w:tr>
      <w:tr>
        <w:trPr>
          <w:trHeight w:val="20"/>
        </w:trPr>
        <w:tc>
          <w:tcPr>
            <w:tcW w:w="7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anticipate a material impact to the financial statements in the next twelve months as a result of a change in liabilities for uncertain tax positions.</w:t>
      </w:r>
    </w:p>
    <w:p>
      <w:pPr>
        <w:spacing w:after="0" w:line="119"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 of December 31, 2024, $3.5 million of the balance of unrecognized tax benefits was classified as </w:t>
      </w:r>
      <w:r>
        <w:rPr>
          <w:rFonts w:ascii="Times New Roman" w:cs="Times New Roman" w:eastAsia="Times New Roman" w:hAnsi="Times New Roman"/>
          <w:sz w:val="18"/>
          <w:szCs w:val="18"/>
          <w:i w:val="1"/>
          <w:iCs w:val="1"/>
          <w:color w:val="auto"/>
        </w:rPr>
        <w:t>Accounts payable and accrued liabilities</w:t>
      </w:r>
      <w:r>
        <w:rPr>
          <w:rFonts w:ascii="Times New Roman" w:cs="Times New Roman" w:eastAsia="Times New Roman" w:hAnsi="Times New Roman"/>
          <w:sz w:val="18"/>
          <w:szCs w:val="18"/>
          <w:color w:val="auto"/>
        </w:rPr>
        <w:t>. At December 31, 2023 and 2022, respectively the balance of unrecognized tax benefits was classified as other long term liabilities.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liabilities for unrecognized tax benefits would impact the effective tax rate, if recognized.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 Space and Fleet Vehicle Leases</w:t>
      </w:r>
    </w:p>
    <w:p>
      <w:pPr>
        <w:spacing w:after="0" w:line="20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its headquarters lease, certain office space, certain office equipment and its fleet vehicles. With respect to the fleet vehicle leases, given the volume of individual leases involved in the overall arrangement, the Company applies a portfolio approach to effectively account for the operating lease assets and liabilities. The Company made an accounting policy election, by class of underlying asset, to combine the lease and non-lease components for the headquarters, office space, office equipment and fleet vehicle leases.</w:t>
      </w:r>
    </w:p>
    <w:p>
      <w:pPr>
        <w:spacing w:after="0" w:line="13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Company's headquarters lease commenced on February 1, 2019 (the Commencement Date) and will continue until April 30, 2034, unless earlier terminated in accordance with the terms of the lease. The lease includes options to extend the lease for up to ten years.</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part of the Adamas Acquisition, the Company acquired a lease for office space. Adamas' operating lease for the office space term will continue until April 30, 2025. The lease contains an option to extend the term for one additional five-year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 (Continued)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Manufacturing Lease</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contract manufacturing agreement with Merz Pharma GmbH &amp; Co. KGaA (Merz), for the manufacture and supply of rimabotulinumtoxinB finished products (Merz Agreement). The Merz Agreement will expire in July 2027 unless the Company and Merz mutually agree to extend the terms. The Merz Agreement may not be terminated for convenience.</w:t>
      </w:r>
    </w:p>
    <w:p>
      <w:pPr>
        <w:spacing w:after="0" w:line="14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the Company is required to purchase a minimum quantity of MYOBLOC finished products on an annual basis. This minimum purchase requirement represents the in-substance fixed contract consideration associated with the dedicated manufacturing facility which the Company accounts for as an embedded lease. In October 2021, we entered into an amendment to the Merz Agreement which increased the price of the annual purchase commitment of MYOBLOC from €3.0 million to approximately €3.9 million.</w:t>
      </w:r>
    </w:p>
    <w:p>
      <w:pPr>
        <w:spacing w:after="0" w:line="13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made an accounting policy election, by class of underlying asset, to not combine lease and non-lease components for the manufacturing facility. A portion of the in-substance fixed contract consideration was allocated to the lease component based on the stand-alone selling price. Accordingly, the Company classifies and accounts for the embedded lease as an operating lease.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assets and lease liabilities as reported on the consolidated balance sheets are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2920" w:type="dxa"/>
            <w:vAlign w:val="bottom"/>
            <w:gridSpan w:val="3"/>
            <w:vMerge w:val="restart"/>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spacing w:after="0"/>
              <w:rPr>
                <w:sz w:val="16"/>
                <w:szCs w:val="16"/>
                <w:color w:val="auto"/>
              </w:rPr>
            </w:pPr>
          </w:p>
        </w:tc>
        <w:tc>
          <w:tcPr>
            <w:tcW w:w="292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2920" w:type="dxa"/>
            <w:vAlign w:val="bottom"/>
            <w:gridSpan w:val="3"/>
          </w:tcPr>
          <w:p>
            <w:pPr>
              <w:jc w:val="center"/>
              <w:ind w:left="833"/>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23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880" w:type="dxa"/>
            <w:vAlign w:val="bottom"/>
            <w:gridSpan w:val="5"/>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2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880" w:type="dxa"/>
            <w:vAlign w:val="bottom"/>
            <w:gridSpan w:val="5"/>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Operating lease liabilities, long-term</w:t>
            </w: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33,196</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34,271</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41,527</w:t>
            </w:r>
          </w:p>
        </w:tc>
        <w:tc>
          <w:tcPr>
            <w:tcW w:w="0" w:type="dxa"/>
            <w:vAlign w:val="bottom"/>
          </w:tcPr>
          <w:p>
            <w:pPr>
              <w:spacing w:after="0"/>
              <w:rPr>
                <w:sz w:val="1"/>
                <w:szCs w:val="1"/>
                <w:color w:val="auto"/>
              </w:rPr>
            </w:pPr>
          </w:p>
        </w:tc>
      </w:tr>
      <w:tr>
        <w:trPr>
          <w:trHeight w:val="20"/>
        </w:trPr>
        <w:tc>
          <w:tcPr>
            <w:tcW w:w="7120" w:type="dxa"/>
            <w:vAlign w:val="bottom"/>
            <w:gridSpan w:val="4"/>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costs are as follows (dollars in thousands):</w:t>
            </w: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120" w:type="dxa"/>
            <w:vAlign w:val="bottom"/>
            <w:gridSpan w:val="4"/>
            <w:vMerge w:val="continue"/>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lease cost</w:t>
            </w:r>
          </w:p>
        </w:tc>
        <w:tc>
          <w:tcPr>
            <w:tcW w:w="29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8,945</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8,258</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 cost</w:t>
            </w:r>
          </w:p>
        </w:tc>
        <w:tc>
          <w:tcPr>
            <w:tcW w:w="2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5,998</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14,420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14,256</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1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(dollars in thousands):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29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0" w:type="dxa"/>
            <w:vAlign w:val="bottom"/>
          </w:tcPr>
          <w:p>
            <w:pPr>
              <w:spacing w:after="0"/>
              <w:rPr>
                <w:sz w:val="1"/>
                <w:szCs w:val="1"/>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for new operating leases</w:t>
            </w:r>
          </w:p>
        </w:tc>
        <w:tc>
          <w:tcPr>
            <w:tcW w:w="2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1001"/>
        </w:trPr>
        <w:tc>
          <w:tcPr>
            <w:tcW w:w="42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 (Continued)</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lease term and weighted average discount rate for operating leases are as follows:</w:t>
      </w:r>
    </w:p>
    <w:p>
      <w:pPr>
        <w:spacing w:after="0" w:line="43"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4.9 %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December 31, 2024, are as follows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w:t>
            </w:r>
          </w:p>
        </w:tc>
      </w:tr>
      <w:tr>
        <w:trPr>
          <w:trHeight w:val="229"/>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w:t>
            </w:r>
          </w:p>
        </w:tc>
      </w:tr>
      <w:tr>
        <w:trPr>
          <w:trHeight w:val="230"/>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r>
      <w:tr>
        <w:trPr>
          <w:trHeight w:val="229"/>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30"/>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r>
      <w:tr>
        <w:trPr>
          <w:trHeight w:val="229"/>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39,997</w:t>
            </w:r>
          </w:p>
        </w:tc>
      </w:tr>
      <w:tr>
        <w:trPr>
          <w:trHeight w:val="229"/>
        </w:trPr>
        <w:tc>
          <w:tcPr>
            <w:tcW w:w="9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Imputed interest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34,271</w:t>
            </w:r>
          </w:p>
        </w:tc>
      </w:tr>
      <w:tr>
        <w:trPr>
          <w:trHeight w:val="20"/>
        </w:trPr>
        <w:tc>
          <w:tcPr>
            <w:tcW w:w="9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7487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Calculated using the interest rate for each lease.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and therefore has only one reportable segment. The Company derives revenue primarily from sales of its commercial products in the U.S.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Company manages the business activities on a consolidated basis. The CODM assesses performance of the Company, and decides how to allocate resources based on net income, which is reported in the consolidated statement of earnings as net earnings and allocates resources on a consolidated basis. The CODM uses net earnings to decide whether to reinvest profits into the Company's current products or into other research and development initiatives for the Company's product candidates. Net earnings is also used to monitor budget versus actual results.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measure of the reportable segment assets is reported on the balance sheet as total assets.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accounting policies of the reportable segment are the same as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segment revenue, significant segment expenses and net earnings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667,238</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 Significant Segment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87,221</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147,289</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120,499</w:t>
            </w: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109,433</w:t>
            </w:r>
          </w:p>
        </w:tc>
      </w:tr>
      <w:tr>
        <w:trPr>
          <w:trHeight w:val="234"/>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481"/>
        </w:trPr>
        <w:tc>
          <w:tcPr>
            <w:tcW w:w="6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9"/>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External development program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ONAPGO</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57"/>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SPN-820</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8,139</w:t>
            </w:r>
          </w:p>
        </w:tc>
      </w:tr>
      <w:tr>
        <w:trPr>
          <w:trHeight w:val="22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SPN-817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Qelbree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Early-stage programs and other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w:t>
            </w: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external development program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42,992</w:t>
            </w:r>
          </w:p>
        </w:tc>
      </w:tr>
      <w:tr>
        <w:trPr>
          <w:trHeight w:val="229"/>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Internal employee-related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w:t>
            </w:r>
          </w:p>
        </w:tc>
      </w:tr>
      <w:tr>
        <w:trPr>
          <w:trHeight w:val="223"/>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74,552</w:t>
            </w:r>
          </w:p>
        </w:tc>
      </w:tr>
      <w:tr>
        <w:trPr>
          <w:trHeight w:val="223"/>
        </w:trPr>
        <w:tc>
          <w:tcPr>
            <w:tcW w:w="65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67,533</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60,711</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-3162300</wp:posOffset>
            </wp:positionV>
            <wp:extent cx="17145"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 cy="1454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-3162300</wp:posOffset>
            </wp:positionV>
            <wp:extent cx="17145"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 cy="145415"/>
                    </a:xfrm>
                    <a:prstGeom prst="rect">
                      <a:avLst/>
                    </a:prstGeom>
                    <a:noFill/>
                  </pic:spPr>
                </pic:pic>
              </a:graphicData>
            </a:graphic>
          </wp:anchor>
        </w:drawing>
      </w:r>
    </w:p>
    <w:p>
      <w:pPr>
        <w:spacing w:after="0" w:line="286" w:lineRule="exact"/>
        <w:rPr>
          <w:sz w:val="20"/>
          <w:szCs w:val="20"/>
          <w:color w:val="auto"/>
        </w:rPr>
      </w:pPr>
    </w:p>
    <w:p>
      <w:pPr>
        <w:ind w:right="140" w:firstLine="8"/>
        <w:spacing w:after="0" w:line="287" w:lineRule="auto"/>
        <w:tabs>
          <w:tab w:leader="none" w:pos="159" w:val="left"/>
        </w:tabs>
        <w:numPr>
          <w:ilvl w:val="0"/>
          <w:numId w:val="6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Other segment items include amortization of intangible assets, intangible asset impairment charges, contingent consideration gain, net interest and other income, interest expense, and income tax expense, whose amounts are disclosed in the consolidated statement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Composition of Other Balance Sheet Items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details the composition of other balance sheet items (dollars in thousands for amounts in tables):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2024, and December 31, 2023, the Company recorded allowances of approximately $12.3 million and $10.7 million, respectively, for prompt pay discount and contractual service fees paid to the Company's customers. The Company's customers are primarily pharmaceutical wholesalers and distributors and specialty pharmacies. The Company accounts for these prompt pay discount and contractual service fees as reduction to gross product sales at the time of sale. See Note 2, </w:t>
      </w:r>
      <w:r>
        <w:rPr>
          <w:rFonts w:ascii="Times New Roman" w:cs="Times New Roman" w:eastAsia="Times New Roman" w:hAnsi="Times New Roman"/>
          <w:sz w:val="18"/>
          <w:szCs w:val="18"/>
          <w:i w:val="1"/>
          <w:iCs w:val="1"/>
          <w:color w:val="auto"/>
        </w:rPr>
        <w:t>Summary of Accounting Policies - Revenue from Product Sales.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net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(dollars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31,212</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29,922</w:t>
            </w: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77,408</w:t>
            </w:r>
          </w:p>
        </w:tc>
      </w:tr>
      <w:tr>
        <w:trPr>
          <w:trHeight w:val="21"/>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88"/>
        </w:trPr>
        <w:tc>
          <w:tcPr>
            <w:tcW w:w="8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Composition of Other Balance Sheet Items (Continued)</w:t>
      </w:r>
    </w:p>
    <w:p>
      <w:pPr>
        <w:spacing w:after="0" w:line="200" w:lineRule="exact"/>
        <w:rPr>
          <w:sz w:val="20"/>
          <w:szCs w:val="20"/>
          <w:color w:val="auto"/>
        </w:rPr>
      </w:pPr>
    </w:p>
    <w:p>
      <w:pPr>
        <w:spacing w:after="0" w:line="29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inventory write-offs of $8.9 million and $8.0 million for the years ended December 31, 2024 and 2023, respectively. The inventory write-offs are reported on the consolidated statement of earnings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(dollars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2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 and furniture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3"/>
        </w:trPr>
        <w:tc>
          <w:tcPr>
            <w:tcW w:w="8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28,935</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approximately $2.4 million, $2.5 million, and $3.0 million for the years ended December 31, 2024, 2023 and 2022,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2760" w:type="dxa"/>
            <w:vAlign w:val="bottom"/>
            <w:tcBorders>
              <w:bottom w:val="single" w:sz="8" w:color="CCEEFF"/>
            </w:tcBorders>
          </w:tcPr>
          <w:p>
            <w:pPr>
              <w:spacing w:after="0"/>
              <w:rPr>
                <w:sz w:val="17"/>
                <w:szCs w:val="17"/>
                <w:color w:val="auto"/>
              </w:rPr>
            </w:pPr>
          </w:p>
        </w:tc>
        <w:tc>
          <w:tcPr>
            <w:tcW w:w="5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compensation, benefits, &amp; related accruals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w:t>
            </w: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&amp; marketing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manufacturing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w:t>
            </w: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R&amp;D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r>
      <w:tr>
        <w:trPr>
          <w:trHeight w:val="230"/>
        </w:trPr>
        <w:tc>
          <w:tcPr>
            <w:tcW w:w="8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liabilities, current portion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30"/>
        </w:trPr>
        <w:tc>
          <w:tcPr>
            <w:tcW w:w="81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royalties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w:t>
            </w: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79,569</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760" w:type="dxa"/>
            <w:vAlign w:val="bottom"/>
            <w:tcBorders>
              <w:bottom w:val="single" w:sz="8" w:color="auto"/>
            </w:tcBorders>
          </w:tcPr>
          <w:p>
            <w:pPr>
              <w:spacing w:after="0"/>
              <w:rPr>
                <w:sz w:val="16"/>
                <w:szCs w:val="16"/>
                <w:color w:val="auto"/>
              </w:rPr>
            </w:pPr>
          </w:p>
        </w:tc>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82"/>
        </w:trPr>
        <w:tc>
          <w:tcPr>
            <w:tcW w:w="8100" w:type="dxa"/>
            <w:vAlign w:val="bottom"/>
            <w:gridSpan w:val="2"/>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Refer to Note </w:t>
            </w:r>
            <w:r>
              <w:rPr>
                <w:rFonts w:ascii="Times New Roman" w:cs="Times New Roman" w:eastAsia="Times New Roman" w:hAnsi="Times New Roman"/>
                <w:sz w:val="17"/>
                <w:szCs w:val="17"/>
                <w:color w:val="auto"/>
              </w:rPr>
              <w:t>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6"/>
        </w:trPr>
        <w:tc>
          <w:tcPr>
            <w:tcW w:w="8100" w:type="dxa"/>
            <w:vAlign w:val="bottom"/>
            <w:gridSpan w:val="2"/>
          </w:tcPr>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Refer to Note </w:t>
            </w:r>
            <w:r>
              <w:rPr>
                <w:rFonts w:ascii="Times New Roman" w:cs="Times New Roman" w:eastAsia="Times New Roman" w:hAnsi="Times New Roman"/>
                <w:sz w:val="17"/>
                <w:szCs w:val="17"/>
                <w:color w:val="auto"/>
              </w:rPr>
              <w:t>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3"/>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Accrued Product Returns and Rebates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8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Accrued product returns and rebates consist of the following (dollars in thousands):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2"/>
        </w:trPr>
        <w:tc>
          <w:tcPr>
            <w:tcW w:w="27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2760" w:type="dxa"/>
            <w:vAlign w:val="bottom"/>
            <w:tcBorders>
              <w:bottom w:val="single" w:sz="8" w:color="CCEEFF"/>
            </w:tcBorders>
          </w:tcPr>
          <w:p>
            <w:pPr>
              <w:spacing w:after="0"/>
              <w:rPr>
                <w:sz w:val="17"/>
                <w:szCs w:val="17"/>
                <w:color w:val="auto"/>
              </w:rPr>
            </w:pPr>
          </w:p>
        </w:tc>
        <w:tc>
          <w:tcPr>
            <w:tcW w:w="5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product rebates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96,984</w:t>
            </w:r>
          </w:p>
        </w:tc>
      </w:tr>
      <w:tr>
        <w:trPr>
          <w:trHeight w:val="230"/>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Accrued product returns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57,290</w:t>
            </w: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154,274</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223"/>
        </w:trPr>
        <w:tc>
          <w:tcPr>
            <w:tcW w:w="27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Interest Expense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consists of the following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nonrecourse liability related to sale of future royalties</w:t>
            </w:r>
          </w:p>
        </w:tc>
        <w:tc>
          <w:tcPr>
            <w:tcW w:w="108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debt</w:t>
            </w: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w:t>
            </w:r>
          </w:p>
        </w:tc>
      </w:tr>
      <w:tr>
        <w:trPr>
          <w:trHeight w:val="21"/>
        </w:trPr>
        <w:tc>
          <w:tcPr>
            <w:tcW w:w="6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Noncash interest expense on debt is related to amortization of deferred financing costs on the 2023 Notes. The Company fully amortized the deferred financing costs on the 2023 Notes in the first quarter of 2023.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Licenses</w:t>
      </w:r>
    </w:p>
    <w:p>
      <w:pPr>
        <w:spacing w:after="0" w:line="20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13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Through the USWM Acquisition, the Company acquired licensing agreements with other pharmaceutical companies for APOKYN, ONAPGO,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consolidated statements of earnings.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Enterprises Commitments Assumed</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part of the USWM Acquisition, the Company assumed the remaining commitments of USWM Enterprises and its subsidiaries, which are discussed below.</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assumed the annual minimum purchase requirement of MYOBLOC, amounting to an estimated €3.9 million annually, under the contract manufacturing agreement with Merz for manufacture and supply. Refer to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discussion related to the Merz Agreement in connection with the MYOBLOC annual minimum purchase requirement.</w:t>
      </w:r>
    </w:p>
    <w:p>
      <w:pPr>
        <w:spacing w:after="0" w:line="1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will continue to maintain a broad array of processes, policies and procedures necessary to comply with the CIA and submitted its final report during the second quarter of 2024. The Company remains subject to its obligations under the CIA until it receives official notification of release from the Office of the Inspector General.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various claims, litigation and legal proceedings. These matters may involve patent litigation, product liability and other product-related litigation, commercial and other matters, and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 (Continued)</w:t>
      </w:r>
    </w:p>
    <w:p>
      <w:pPr>
        <w:spacing w:after="0" w:line="200" w:lineRule="exact"/>
        <w:rPr>
          <w:sz w:val="20"/>
          <w:szCs w:val="20"/>
          <w:color w:val="auto"/>
        </w:rPr>
      </w:pPr>
    </w:p>
    <w:p>
      <w:pPr>
        <w:spacing w:after="0" w:line="3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NAMENDA XR/Namzaric Qui Tam Litigation</w:t>
      </w:r>
    </w:p>
    <w:p>
      <w:pPr>
        <w:spacing w:after="0" w:line="18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On March 20, 2023, the District Court entered an order and final judgement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w:t>
      </w:r>
      <w:r>
        <w:rPr>
          <w:rFonts w:ascii="Times New Roman" w:cs="Times New Roman" w:eastAsia="Times New Roman" w:hAnsi="Times New Roman"/>
          <w:sz w:val="18"/>
          <w:szCs w:val="18"/>
          <w:color w:val="333333"/>
        </w:rPr>
        <w:t>On February 20, 2024, the plaintiff filed a motion for an indicative ruling and to set aside the judgment in the District Court, based on the same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arguments raised in his appeal. That motion was fully briefed and the District Court determined that the motion for an indicative ruling was suitable for determination without a hearing. On May 7, 2024, the District Court denied the plaintiff’s motion for an indicative ruling. The appeal is fully briefed, and the Ninth Circuit heard oral argument on November 21, 2024. </w:t>
      </w:r>
      <w:r>
        <w:rPr>
          <w:rFonts w:ascii="Times New Roman" w:cs="Times New Roman" w:eastAsia="Times New Roman" w:hAnsi="Times New Roman"/>
          <w:sz w:val="18"/>
          <w:szCs w:val="18"/>
          <w:color w:val="000000"/>
        </w:rPr>
        <w:t>On January 29, 2025, the Ninth Circuit affirmed the District Court’s order dismissing the</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litigation. The plaintiff intends to file a Petition for Panel and En Banc Rehearing and has asked the Ninth Circuit to extend his filing deadline until March 31, 2025. The Company intends to defend itself vigorously. However, the Company can offer no assurances that it will be successful in a litigation.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APOKYN Litigation</w:t>
      </w:r>
    </w:p>
    <w:p>
      <w:pPr>
        <w:spacing w:after="0" w:line="20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January 10, 2023, the Company filed motions to dismiss all claims and the lawsuit in its entirety. Between May 9, 2024 and June 4, 2024, the Court ruled on all motions to dismiss, declining to dismiss any claims against the Company, its subsidiaries, or Britannia Pharmaceuticals Limited and dismissing US WorldMeds Partners, LLC, USWM, LLC, and all of the individual defendants (former US WorldMeds executives) out of the case completely. The Court then lifted the stay on fact depositions, which are now well underway and are expected to be completed by first half of February 2025. Plaintiffs moved to revive the claims against US WorldMeds Partners, LLC and USWM, LLC, but not the former individual defendants. Briefing was complete on August 21, 2024 and the Court heard argument on the motion on August 29, 2024. The Court entered an Order that revived the claims against US WorldMeds Partners, LLC and USWM, LLC on December 5, 2024. The operative scheduling order sets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 (Continued)</w:t>
      </w:r>
    </w:p>
    <w:p>
      <w:pPr>
        <w:spacing w:after="0" w:line="200" w:lineRule="exact"/>
        <w:rPr>
          <w:sz w:val="20"/>
          <w:szCs w:val="20"/>
          <w:color w:val="auto"/>
        </w:rPr>
      </w:pPr>
    </w:p>
    <w:p>
      <w:pPr>
        <w:spacing w:after="0" w:line="3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key deadlines: end of fact discovery January 31, 2025 (however, certain fact depositions will likely occur in the first half of February by agreement of the parties); expert discovery to conclude May 12, 2025; case dispositive motions to be filed June 2, 2025; hearing on case dispositive and Daubert motions on September 11, 2025; pretrial conference December 10, 2025; a ten-day jury trial to begin on January 5, 2026. On January 3, 2025, the Court issued an Oral Order requiring the parties to “engage in in-person mediation in good faith” and jointly select an agreed-upon mediator. The parties are working to schedule the mediation to occur in late April 2025 in compliance with Court’s Oral Order that the mediation conference “occur no later than May 2, 2025 (unless the parties stipulate to a later date and such date is approved by the Court)."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8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In February 2025, the FDA approved ONAPGO (apomorphine hydrochloride) injection, formerly known as SPN-830, as the first and only subcutaneous apomorphine infusion device for the treatment of motor fluctuations in adults with advanced PD. ONAPGO will be launched in the second quarter of 2025.</w:t>
      </w:r>
    </w:p>
    <w:p>
      <w:pPr>
        <w:spacing w:after="0" w:line="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The Company paid the $25 million milestone related to the FDA's approval of the SPN-830 NDA in February 2025, and expects the remaining $30 million milestone to be due and paid in 2025. Refer to Note 6, </w:t>
      </w: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Attached to this Annual Report on Form 10-K as Exhibits 31.1 and 31.2 are two certifications, termed the Section 302 certifications, one by each of our Chief Executive Officer (CEO) and our Chief Financial Officer (CFO). This Item 9A contains information concerning the evaluation of our disclosure controls and procedures and internal control over financial reporting referred to in the Section 302 Certifications. This information should be read in conjunction with the Section 302 Certifications for a more complete understanding of the topics presented.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December 31, 2024, the end of the period covered by this report. Based on that evaluation, under the supervision and with the participation of our management, including our CEO and CFO, we concluded that our disclosure controls and procedures were effective as of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the CEO and CFO, is responsible for establishing and maintaining adequate internal control over financial reporting for the Company. Internal control over financial reporting, as defined in Exchange Act Rule 13a-15(f) and 15d-15(f), is a process designed under the supervision and with the participation of our management to provide reasonable assurance regarding the reliability of financial reporting and the preparation of financial statements for external purposes in accordance with accounting principles generally accepted in the United States of America.</w:t>
      </w:r>
    </w:p>
    <w:p>
      <w:pPr>
        <w:spacing w:after="0" w:line="143" w:lineRule="exact"/>
        <w:rPr>
          <w:sz w:val="20"/>
          <w:szCs w:val="20"/>
          <w:color w:val="auto"/>
        </w:rPr>
      </w:pPr>
    </w:p>
    <w:p>
      <w:pPr>
        <w:jc w:val="both"/>
        <w:ind w:right="200" w:firstLine="648"/>
        <w:spacing w:after="0" w:line="257"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Because of their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Therefore, even those systems determined to be effective can provide only reasonable assurance with respect to financial statement preparation and presentation.</w:t>
      </w:r>
    </w:p>
    <w:p>
      <w:pPr>
        <w:spacing w:after="0" w:line="14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CEO and CFO, and under the oversight of our Board of Directors, we conducted an evaluation of the effectiveness of our internal control over financial reporting as of December 31, 2024 based on criteria related to internal control over financial reporting described in Internal Control-Integrated Framework (2013) issued by the Committee of Sponsoring Organizations of the Treadway Commission (COSO 2013 Framework).</w:t>
      </w:r>
    </w:p>
    <w:p>
      <w:pPr>
        <w:spacing w:after="0" w:line="15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Based on management's assessment using the criteria set forth above, management concluded that the Company's internal control over financial reporting was effective as of December 31, 2024.</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who audited our consolidated financial statements included in this Annual Report on Form 10-K, issued an opinion on the effectiveness of the Company’s internal control over financial reporting. KPMG LLP’s report is included in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management, including our CEO and CFO, evaluated changes in our internal control over financial reporting that occurred during the quarter ended December 31, 2024. There were no changes in our internal control over financial reporting identified in connection with the evaluation required by paragraph (d) of Exchange Act Rule 13a-15 that occurred during the quarter ended December 31, 2024, that have materially affected or are reasonably likely to materially affect, our internal control over financial reporting.</w:t>
      </w:r>
    </w:p>
    <w:p>
      <w:pPr>
        <w:spacing w:after="0" w:line="1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lists the insider trading arrangements adopted or terminated during the fourth quarter of 2024.</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520" w:type="dxa"/>
            <w:vAlign w:val="bottom"/>
            <w:tcBorders>
              <w:top w:val="single" w:sz="8" w:color="auto"/>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Name and Title of</w:t>
            </w:r>
          </w:p>
        </w:tc>
        <w:tc>
          <w:tcPr>
            <w:tcW w:w="150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Rule 10b5-1</w:t>
            </w:r>
          </w:p>
        </w:tc>
        <w:tc>
          <w:tcPr>
            <w:tcW w:w="150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0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Date of Adoption</w:t>
            </w:r>
          </w:p>
        </w:tc>
        <w:tc>
          <w:tcPr>
            <w:tcW w:w="150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Duration of</w:t>
            </w:r>
          </w:p>
        </w:tc>
        <w:tc>
          <w:tcPr>
            <w:tcW w:w="152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520" w:type="dxa"/>
            <w:vAlign w:val="bottom"/>
            <w:tcBorders>
              <w:top w:val="single" w:sz="8" w:color="auto"/>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Aggregate Number</w:t>
            </w:r>
          </w:p>
        </w:tc>
      </w:tr>
      <w:tr>
        <w:trPr>
          <w:trHeight w:val="179"/>
        </w:trPr>
        <w:tc>
          <w:tcPr>
            <w:tcW w:w="1520" w:type="dxa"/>
            <w:vAlign w:val="bottom"/>
            <w:tcBorders>
              <w:left w:val="single" w:sz="8" w:color="auto"/>
              <w:right w:val="single" w:sz="8" w:color="auto"/>
            </w:tcBorders>
          </w:tcPr>
          <w:p>
            <w:pPr>
              <w:ind w:left="40"/>
              <w:spacing w:after="0" w:line="179" w:lineRule="exact"/>
              <w:rPr>
                <w:sz w:val="20"/>
                <w:szCs w:val="20"/>
                <w:color w:val="auto"/>
              </w:rPr>
            </w:pPr>
            <w:r>
              <w:rPr>
                <w:rFonts w:ascii="Times New Roman" w:cs="Times New Roman" w:eastAsia="Times New Roman" w:hAnsi="Times New Roman"/>
                <w:sz w:val="18"/>
                <w:szCs w:val="18"/>
                <w:b w:val="1"/>
                <w:bCs w:val="1"/>
                <w:color w:val="auto"/>
              </w:rPr>
              <w:t>Director or</w:t>
            </w:r>
          </w:p>
        </w:tc>
        <w:tc>
          <w:tcPr>
            <w:tcW w:w="150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0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Arrangement</w:t>
            </w:r>
          </w:p>
        </w:tc>
        <w:tc>
          <w:tcPr>
            <w:tcW w:w="150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or Termination</w:t>
            </w:r>
          </w:p>
        </w:tc>
        <w:tc>
          <w:tcPr>
            <w:tcW w:w="150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20" w:type="dxa"/>
            <w:vAlign w:val="bottom"/>
            <w:tcBorders>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520" w:type="dxa"/>
            <w:vAlign w:val="bottom"/>
            <w:tcBorders>
              <w:right w:val="single" w:sz="8" w:color="auto"/>
            </w:tcBorders>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of Securities to be</w:t>
            </w:r>
          </w:p>
        </w:tc>
      </w:tr>
      <w:tr>
        <w:trPr>
          <w:trHeight w:val="186"/>
        </w:trPr>
        <w:tc>
          <w:tcPr>
            <w:tcW w:w="1520" w:type="dxa"/>
            <w:vAlign w:val="bottom"/>
            <w:tcBorders>
              <w:left w:val="single" w:sz="8" w:color="auto"/>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18"/>
                <w:szCs w:val="18"/>
                <w:b w:val="1"/>
                <w:bCs w:val="1"/>
                <w:color w:val="auto"/>
              </w:rPr>
              <w:t>Officer</w:t>
            </w:r>
          </w:p>
        </w:tc>
        <w:tc>
          <w:tcPr>
            <w:tcW w:w="150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Arrangement</w:t>
            </w:r>
            <w:r>
              <w:rPr>
                <w:rFonts w:ascii="Times New Roman" w:cs="Times New Roman" w:eastAsia="Times New Roman" w:hAnsi="Times New Roman"/>
                <w:sz w:val="21"/>
                <w:szCs w:val="21"/>
                <w:b w:val="1"/>
                <w:bCs w:val="1"/>
                <w:color w:val="auto"/>
                <w:vertAlign w:val="superscript"/>
              </w:rPr>
              <w:t>(1)</w:t>
            </w:r>
          </w:p>
        </w:tc>
        <w:tc>
          <w:tcPr>
            <w:tcW w:w="150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Adopted or</w:t>
            </w: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Arrangement</w:t>
            </w:r>
          </w:p>
        </w:tc>
        <w:tc>
          <w:tcPr>
            <w:tcW w:w="152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Securities to be</w:t>
            </w:r>
          </w:p>
        </w:tc>
        <w:tc>
          <w:tcPr>
            <w:tcW w:w="152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Sold Pursuant to</w:t>
            </w:r>
          </w:p>
        </w:tc>
      </w:tr>
      <w:tr>
        <w:trPr>
          <w:trHeight w:val="176"/>
        </w:trPr>
        <w:tc>
          <w:tcPr>
            <w:tcW w:w="152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Terminated</w:t>
            </w: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Purchased</w:t>
            </w:r>
          </w:p>
        </w:tc>
        <w:tc>
          <w:tcPr>
            <w:tcW w:w="152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Trading</w:t>
            </w:r>
          </w:p>
        </w:tc>
      </w:tr>
      <w:tr>
        <w:trPr>
          <w:trHeight w:val="180"/>
        </w:trPr>
        <w:tc>
          <w:tcPr>
            <w:tcW w:w="152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Pursuant to</w:t>
            </w:r>
          </w:p>
        </w:tc>
        <w:tc>
          <w:tcPr>
            <w:tcW w:w="152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Arrangement</w:t>
            </w:r>
          </w:p>
        </w:tc>
      </w:tr>
      <w:tr>
        <w:trPr>
          <w:trHeight w:val="184"/>
        </w:trPr>
        <w:tc>
          <w:tcPr>
            <w:tcW w:w="152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20" w:type="dxa"/>
            <w:vAlign w:val="bottom"/>
            <w:tcBorders>
              <w:right w:val="single" w:sz="8" w:color="auto"/>
            </w:tcBorders>
          </w:tcPr>
          <w:p>
            <w:pPr>
              <w:spacing w:after="0"/>
              <w:rPr>
                <w:sz w:val="16"/>
                <w:szCs w:val="16"/>
                <w:color w:val="auto"/>
              </w:rPr>
            </w:pPr>
          </w:p>
        </w:tc>
      </w:tr>
      <w:tr>
        <w:trPr>
          <w:trHeight w:val="229"/>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520" w:type="dxa"/>
            <w:vAlign w:val="bottom"/>
            <w:tcBorders>
              <w:bottom w:val="single" w:sz="8" w:color="auto"/>
              <w:right w:val="single" w:sz="8" w:color="auto"/>
            </w:tcBorders>
          </w:tcPr>
          <w:p>
            <w:pPr>
              <w:spacing w:after="0"/>
              <w:rPr>
                <w:sz w:val="19"/>
                <w:szCs w:val="19"/>
                <w:color w:val="auto"/>
              </w:rPr>
            </w:pPr>
          </w:p>
        </w:tc>
      </w:tr>
      <w:tr>
        <w:trPr>
          <w:trHeight w:val="169"/>
        </w:trPr>
        <w:tc>
          <w:tcPr>
            <w:tcW w:w="152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Jack Khattar</w:t>
            </w: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Yes</w:t>
            </w:r>
          </w:p>
        </w:tc>
        <w:tc>
          <w:tcPr>
            <w:tcW w:w="15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Adopted</w:t>
            </w:r>
          </w:p>
        </w:tc>
        <w:tc>
          <w:tcPr>
            <w:tcW w:w="15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14, 2024</w:t>
            </w:r>
          </w:p>
        </w:tc>
        <w:tc>
          <w:tcPr>
            <w:tcW w:w="15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First Transaction</w:t>
            </w:r>
          </w:p>
        </w:tc>
        <w:tc>
          <w:tcPr>
            <w:tcW w:w="1520" w:type="dxa"/>
            <w:vAlign w:val="bottom"/>
            <w:tcBorders>
              <w:right w:val="single" w:sz="8" w:color="auto"/>
            </w:tcBorders>
          </w:tcPr>
          <w:p>
            <w:pPr>
              <w:ind w:left="460"/>
              <w:spacing w:after="0" w:line="169" w:lineRule="exact"/>
              <w:rPr>
                <w:sz w:val="20"/>
                <w:szCs w:val="20"/>
                <w:color w:val="auto"/>
              </w:rPr>
            </w:pPr>
            <w:r>
              <w:rPr>
                <w:rFonts w:ascii="Times New Roman" w:cs="Times New Roman" w:eastAsia="Times New Roman" w:hAnsi="Times New Roman"/>
                <w:sz w:val="18"/>
                <w:szCs w:val="18"/>
                <w:color w:val="auto"/>
              </w:rPr>
              <w:t>580,000</w:t>
            </w:r>
          </w:p>
        </w:tc>
        <w:tc>
          <w:tcPr>
            <w:tcW w:w="1520" w:type="dxa"/>
            <w:vAlign w:val="bottom"/>
            <w:tcBorders>
              <w:right w:val="single" w:sz="8" w:color="auto"/>
            </w:tcBorders>
          </w:tcPr>
          <w:p>
            <w:pPr>
              <w:ind w:left="380"/>
              <w:spacing w:after="0" w:line="169" w:lineRule="exact"/>
              <w:rPr>
                <w:sz w:val="20"/>
                <w:szCs w:val="20"/>
                <w:color w:val="auto"/>
              </w:rPr>
            </w:pPr>
            <w:r>
              <w:rPr>
                <w:rFonts w:ascii="Times New Roman" w:cs="Times New Roman" w:eastAsia="Times New Roman" w:hAnsi="Times New Roman"/>
                <w:sz w:val="15"/>
                <w:szCs w:val="15"/>
                <w:color w:val="auto"/>
              </w:rPr>
              <w:t>580,000</w:t>
            </w:r>
            <w:r>
              <w:rPr>
                <w:rFonts w:ascii="Times New Roman" w:cs="Times New Roman" w:eastAsia="Times New Roman" w:hAnsi="Times New Roman"/>
                <w:sz w:val="19"/>
                <w:szCs w:val="19"/>
                <w:color w:val="auto"/>
                <w:vertAlign w:val="superscript"/>
              </w:rPr>
              <w:t>(2)</w:t>
            </w:r>
          </w:p>
        </w:tc>
      </w:tr>
      <w:tr>
        <w:trPr>
          <w:trHeight w:val="180"/>
        </w:trPr>
        <w:tc>
          <w:tcPr>
            <w:tcW w:w="1520" w:type="dxa"/>
            <w:vAlign w:val="bottom"/>
            <w:tcBorders>
              <w:left w:val="single" w:sz="8" w:color="auto"/>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rPr>
              <w:t>President, Chief</w:t>
            </w: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Date through</w:t>
            </w:r>
          </w:p>
        </w:tc>
        <w:tc>
          <w:tcPr>
            <w:tcW w:w="152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r>
      <w:tr>
        <w:trPr>
          <w:trHeight w:val="184"/>
        </w:trPr>
        <w:tc>
          <w:tcPr>
            <w:tcW w:w="152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Executive Officer</w:t>
            </w: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24, 2027</w:t>
            </w:r>
          </w:p>
        </w:tc>
        <w:tc>
          <w:tcPr>
            <w:tcW w:w="15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r>
      <w:tr>
        <w:trPr>
          <w:trHeight w:val="229"/>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and Director</w:t>
            </w:r>
          </w:p>
        </w:tc>
        <w:tc>
          <w:tcPr>
            <w:tcW w:w="15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ind w:left="340" w:hanging="170"/>
        <w:spacing w:after="0" w:line="218" w:lineRule="auto"/>
        <w:tabs>
          <w:tab w:leader="none" w:pos="340"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Indicates whether the trading arrangement is intended to satisfy the affirmative defense conditions of Rule 10b5-1(c).</w:t>
      </w:r>
    </w:p>
    <w:p>
      <w:pPr>
        <w:spacing w:after="0" w:line="11" w:lineRule="exact"/>
        <w:rPr>
          <w:rFonts w:ascii="Times New Roman" w:cs="Times New Roman" w:eastAsia="Times New Roman" w:hAnsi="Times New Roman"/>
          <w:sz w:val="21"/>
          <w:szCs w:val="21"/>
          <w:color w:val="auto"/>
          <w:vertAlign w:val="superscript"/>
        </w:rPr>
      </w:pPr>
    </w:p>
    <w:p>
      <w:pPr>
        <w:ind w:left="180" w:right="200" w:hanging="10"/>
        <w:spacing w:after="0" w:line="215" w:lineRule="auto"/>
        <w:tabs>
          <w:tab w:leader="none" w:pos="343"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trading arrangement covers the exercise and sale of stock options, with such sales limited to an amount reasonably estimated such that the net proceeds from the sale are sufficient to cover the exercise cost and taxes associated with the exercise of the stock options.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0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2025 Annual Meeting to be filed with the Securities and Exchange Commission not later than 120 days after December 31, 2024.</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2025 Annual Meeting to be filed with the Securities and Exchange Commission not later than 120 days after December 31, 2024.</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201(d) of Regulation S-K is set forth below. The remainder of the information required by this Item 12 is incorporated by reference to our definitive proxy statement for our 2025 Annual Meeting to be filed with the Securities and Exchange Commission not later than 120 days after December 31, 2024.</w:t>
      </w:r>
    </w:p>
    <w:p>
      <w:pPr>
        <w:spacing w:after="0" w:line="135"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securities that may be issued pursuant to our equity compensation plans (including individual compensation arrangements) as of December 31, 2024:</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0" w:lineRule="exact"/>
        <w:rPr>
          <w:sz w:val="20"/>
          <w:szCs w:val="20"/>
          <w:color w:val="auto"/>
        </w:rPr>
      </w:pPr>
    </w:p>
    <w:p>
      <w:pPr>
        <w:spacing w:after="0" w:line="293" w:lineRule="exact"/>
        <w:rPr>
          <w:sz w:val="20"/>
          <w:szCs w:val="20"/>
          <w:color w:val="auto"/>
        </w:rPr>
      </w:pPr>
    </w:p>
    <w:p>
      <w:pPr>
        <w:ind w:left="40" w:right="200"/>
        <w:spacing w:after="0" w:line="289" w:lineRule="auto"/>
        <w:rPr>
          <w:sz w:val="20"/>
          <w:szCs w:val="20"/>
          <w:color w:val="auto"/>
        </w:rPr>
      </w:pPr>
      <w:r>
        <w:rPr>
          <w:rFonts w:ascii="Times New Roman" w:cs="Times New Roman" w:eastAsia="Times New Roman" w:hAnsi="Times New Roman"/>
          <w:sz w:val="18"/>
          <w:szCs w:val="18"/>
          <w:color w:val="auto"/>
        </w:rPr>
        <w:t>Equity compensation plans approved by security holders Equity compensation plans not approved by security holders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1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68"/>
        </w:trPr>
        <w:tc>
          <w:tcPr>
            <w:tcW w:w="190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2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1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70"/>
        </w:trPr>
        <w:tc>
          <w:tcPr>
            <w:tcW w:w="1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3"/>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90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196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79"/>
        </w:trPr>
        <w:tc>
          <w:tcPr>
            <w:tcW w:w="1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3"/>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9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19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81"/>
        </w:trPr>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840" w:type="dxa"/>
            <w:vAlign w:val="bottom"/>
          </w:tcPr>
          <w:p>
            <w:pPr>
              <w:jc w:val="right"/>
              <w:ind w:right="661"/>
              <w:spacing w:after="0" w:line="81" w:lineRule="exact"/>
              <w:rPr>
                <w:sz w:val="20"/>
                <w:szCs w:val="20"/>
                <w:color w:val="auto"/>
              </w:rPr>
            </w:pPr>
            <w:r>
              <w:rPr>
                <w:rFonts w:ascii="Times New Roman" w:cs="Times New Roman" w:eastAsia="Times New Roman" w:hAnsi="Times New Roman"/>
                <w:sz w:val="9"/>
                <w:szCs w:val="9"/>
                <w:b w:val="1"/>
                <w:bCs w:val="1"/>
                <w:color w:val="auto"/>
                <w:w w:val="75"/>
              </w:rPr>
              <w:t>(1)</w:t>
            </w: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warrants and rights</w:t>
            </w:r>
            <w:r>
              <w:rPr>
                <w:rFonts w:ascii="Times New Roman" w:cs="Times New Roman" w:eastAsia="Times New Roman" w:hAnsi="Times New Roman"/>
                <w:sz w:val="15"/>
                <w:szCs w:val="15"/>
                <w:b w:val="1"/>
                <w:bCs w:val="1"/>
                <w:color w:val="auto"/>
                <w:vertAlign w:val="superscript"/>
              </w:rPr>
              <w:t>(1)</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reflected in the first</w:t>
            </w:r>
          </w:p>
        </w:tc>
        <w:tc>
          <w:tcPr>
            <w:tcW w:w="0" w:type="dxa"/>
            <w:vAlign w:val="bottom"/>
          </w:tcPr>
          <w:p>
            <w:pPr>
              <w:spacing w:after="0"/>
              <w:rPr>
                <w:sz w:val="1"/>
                <w:szCs w:val="1"/>
                <w:color w:val="auto"/>
              </w:rPr>
            </w:pPr>
          </w:p>
        </w:tc>
      </w:tr>
      <w:tr>
        <w:trPr>
          <w:trHeight w:val="216"/>
        </w:trPr>
        <w:tc>
          <w:tcPr>
            <w:tcW w:w="1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w:t>
            </w:r>
            <w:r>
              <w:rPr>
                <w:rFonts w:ascii="Times New Roman" w:cs="Times New Roman" w:eastAsia="Times New Roman" w:hAnsi="Times New Roman"/>
                <w:sz w:val="18"/>
                <w:szCs w:val="18"/>
                <w:b w:val="1"/>
                <w:bCs w:val="1"/>
                <w:color w:val="auto"/>
                <w:w w:val="98"/>
                <w:vertAlign w:val="superscript"/>
              </w:rPr>
              <w:t>(2)</w:t>
            </w:r>
            <w:r>
              <w:rPr>
                <w:rFonts w:ascii="Times New Roman" w:cs="Times New Roman" w:eastAsia="Times New Roman" w:hAnsi="Times New Roman"/>
                <w:sz w:val="14"/>
                <w:szCs w:val="14"/>
                <w:b w:val="1"/>
                <w:bCs w:val="1"/>
                <w:color w:val="auto"/>
                <w:w w:val="98"/>
              </w:rPr>
              <w:t>)</w:t>
            </w:r>
          </w:p>
        </w:tc>
        <w:tc>
          <w:tcPr>
            <w:tcW w:w="0" w:type="dxa"/>
            <w:vAlign w:val="bottom"/>
          </w:tcPr>
          <w:p>
            <w:pPr>
              <w:spacing w:after="0"/>
              <w:rPr>
                <w:sz w:val="1"/>
                <w:szCs w:val="1"/>
                <w:color w:val="auto"/>
              </w:rPr>
            </w:pPr>
          </w:p>
        </w:tc>
      </w:tr>
      <w:tr>
        <w:trPr>
          <w:trHeight w:val="218"/>
        </w:trPr>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6,719,073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4,609,727</w:t>
            </w:r>
          </w:p>
        </w:tc>
        <w:tc>
          <w:tcPr>
            <w:tcW w:w="0" w:type="dxa"/>
            <w:vAlign w:val="bottom"/>
          </w:tcPr>
          <w:p>
            <w:pPr>
              <w:spacing w:after="0"/>
              <w:rPr>
                <w:sz w:val="1"/>
                <w:szCs w:val="1"/>
                <w:color w:val="auto"/>
              </w:rPr>
            </w:pPr>
          </w:p>
        </w:tc>
      </w:tr>
      <w:tr>
        <w:trPr>
          <w:trHeight w:val="234"/>
        </w:trPr>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6,719,073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4,609,727</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732790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-487680</wp:posOffset>
            </wp:positionV>
            <wp:extent cx="7115175"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-187960</wp:posOffset>
            </wp:positionV>
            <wp:extent cx="711517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2">
            <w:col w:w="4600" w:space="720"/>
            <w:col w:w="5920"/>
          </w:cols>
          <w:pgMar w:left="320" w:top="121"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securities that may be issued are shares of the Company's Common Stock, issuable upon conversion of outstanding stock options.</w:t>
      </w:r>
    </w:p>
    <w:p>
      <w:pPr>
        <w:spacing w:after="0" w:line="136"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6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securities that remain available for future issuance are issuable pursuant to the 2021 Equity Incentive Plan.</w:t>
      </w:r>
    </w:p>
    <w:p>
      <w:pPr>
        <w:spacing w:after="0" w:line="1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2025 Annual Meeting to be filed with the Securities and Exchange Commission not later than 120 days after December 31, 2024.</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2025 Annual Meeting to be filed with the Securities and Exchange Commission not later than 120 days after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02"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7"/>
          <w:szCs w:val="17"/>
          <w:color w:val="auto"/>
        </w:rPr>
        <w:t>Index to consolidated Financial Statements</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Financial Statements listed in the Index to consolidated Financial Statements are filed as part of this Annual Report on Form 10-K. See </w:t>
      </w:r>
      <w:r>
        <w:rPr>
          <w:rFonts w:ascii="Times New Roman" w:cs="Times New Roman" w:eastAsia="Times New Roman" w:hAnsi="Times New Roman"/>
          <w:sz w:val="18"/>
          <w:szCs w:val="18"/>
          <w:i w:val="1"/>
          <w:iCs w:val="1"/>
          <w:color w:val="auto"/>
        </w:rPr>
        <w:t>Part II, Item 8—Financial Statement and Supplementary Data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(a)(2)</w:t>
        <w:tab/>
        <w:t>Financial Statement Schedules</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Other financial statement schedules for the years ended December 31, 2024 and 2023 have been omitted since they are either not required, not applicable, or the information is otherwise included in the consolidated financial statements or the notes to consolidated financial statements.</w:t>
      </w:r>
    </w:p>
    <w:p>
      <w:pPr>
        <w:spacing w:after="0" w:line="121"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7"/>
          <w:szCs w:val="17"/>
          <w:color w:val="auto"/>
        </w:rPr>
        <w:t>Exhibits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attached and incorporated herein by reference and filed as part of this report.</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172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0775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55" w:lineRule="exact"/>
        <w:rPr>
          <w:sz w:val="20"/>
          <w:szCs w:val="20"/>
          <w:color w:val="auto"/>
        </w:rPr>
      </w:pPr>
    </w:p>
    <w:p>
      <w:pPr>
        <w:ind w:right="220"/>
        <w:spacing w:after="0" w:line="266"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Agreement and Plan of Merger, dated September 12, 2018, by and between Supernus Pharmaceuticals, Inc., Supernus Merger</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Sub, Inc. Biscayne Neurotherapeutics, Inc. and Reich Consulting Group, Inc., as amended by Amendment No. 1, dated</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September 21, 2018 (incorporated by reference to Exhibit 2.1 to the Form 10-Q filed on November 9, 2018, File No. 001-35518).</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280" w:space="400"/>
            <w:col w:w="9560"/>
          </w:cols>
          <w:pgMar w:left="320" w:top="121" w:right="339" w:bottom="1440" w:gutter="0" w:footer="0" w:header="0"/>
        </w:sectPr>
      </w:pPr>
    </w:p>
    <w:p>
      <w:pPr>
        <w:spacing w:after="0" w:line="44"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7"/>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Sale and Purchase Agreement Relating to USWM Enterprises, LLC, dated April 28, 2020, by and between US WorldMeds Partners,</w:t>
              </w:r>
            </w:hyperlink>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5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LLC and Supernus Pharmaceuticals, Inc. (incorporated by reference to Exhibit 2.1 to the Form 10-Q filed on August 17, 2020, File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No. 001-35518).</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8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9560" w:type="dxa"/>
            <w:vAlign w:val="bottom"/>
            <w:gridSpan w:val="27"/>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Agreement and Plan of Merger, dated as of October 10, 2021, by and among Supernus Pharmaceuticals, Inc., Supernus Reef, Inc.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2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and Adamas Pharmaceuticals, Inc. (incorporated by reference to Exhibit 2.1 to the Form 8-K filed on October 12, 2021, File No.</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001-35518).</w:t>
              </w:r>
            </w:hyperlink>
          </w:p>
        </w:tc>
        <w:tc>
          <w:tcPr>
            <w:tcW w:w="30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8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54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7"/>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Amended and Restated Certificate of Incorporation of the Registrant (incorporated by reference to Exhibit 3.1 to the Company's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2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Registration Statement on Form S-1, File No. 333-184930, as amended on November 14, 2012).</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8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Amended and Restated By-laws of the Registrant (incorporated by reference to Exhibit 3.2 to the Company's Registration Statement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on Form S-1, File No. 333-184930, as amended on November 26, 2012).</w:t>
              </w:r>
            </w:hyperlink>
          </w:p>
        </w:tc>
        <w:tc>
          <w:tcPr>
            <w:tcW w:w="43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7"/>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Specimen Stock Certificate evidencing the shares of common stock (incorporated by reference to Exhibit 4.1 to the Company's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Registration Statement on Form S-1, File No. 333-171375, as amended on March 16, 2012).</w:t>
              </w:r>
            </w:hyperlink>
          </w:p>
        </w:tc>
        <w:tc>
          <w:tcPr>
            <w:tcW w:w="2480" w:type="dxa"/>
            <w:vAlign w:val="bottom"/>
            <w:tcBorders>
              <w:top w:val="single" w:sz="8" w:color="0000FF"/>
            </w:tcBorders>
            <w:gridSpan w:val="7"/>
          </w:tcPr>
          <w:p>
            <w:pPr>
              <w:spacing w:after="0"/>
              <w:rPr>
                <w:sz w:val="17"/>
                <w:szCs w:val="17"/>
                <w:color w:val="auto"/>
              </w:rPr>
            </w:pPr>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Supplemental Executive Retirement Plan (incorporated by reference to Exhibit 10.2 to the Company's Registration Statement on</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60" w:type="dxa"/>
            <w:vAlign w:val="bottom"/>
            <w:gridSpan w:val="27"/>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S-1, File No. 333-171375, as amended on December 23, 2010).</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8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7"/>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Stock Restriction Agreement, dated December 22, 2005, by and between the Registrant and Jack Khattar (incorporated by reference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to Exhibit 10.4 to the Company's Registration Statement on Form S-1, File No. 333-171375, as amended on December 23, 2010).</w:t>
              </w:r>
            </w:hyperlink>
          </w:p>
        </w:tc>
        <w:tc>
          <w:tcPr>
            <w:tcW w:w="160" w:type="dxa"/>
            <w:vAlign w:val="bottom"/>
            <w:tcBorders>
              <w:top w:val="single" w:sz="8" w:color="0000FF"/>
            </w:tcBorders>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7"/>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Asset Purchase and Contribution Agreement, dated as of December 22, 2005, by and among the Registrant, Shire Laboratories Inc.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and Shire plc (incorporated by reference to Exhibit 10.10 to the Company's Registration Statement on Form S-1, File No. 333-</w:t>
              </w:r>
            </w:hyperlink>
          </w:p>
        </w:tc>
        <w:tc>
          <w:tcPr>
            <w:tcW w:w="320" w:type="dxa"/>
            <w:vAlign w:val="bottom"/>
            <w:tcBorders>
              <w:top w:val="single" w:sz="8" w:color="0000FF"/>
            </w:tcBorders>
            <w:gridSpan w:val="8"/>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171375, as amended on March 16, 2012).</w:t>
              </w:r>
            </w:hyperlink>
          </w:p>
        </w:tc>
        <w:tc>
          <w:tcPr>
            <w:tcW w:w="65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7"/>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Guanfacine License Agreement, dated as of December 22, 2005, by and among the Registrant, Shire LLC and Shire plc, as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amended (incorporated by reference to Exhibit 10.11 to the Company's Registration Statement on Form S-1, File No. 333-171375,</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60" w:type="dxa"/>
            <w:vAlign w:val="bottom"/>
            <w:gridSpan w:val="27"/>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as amended on March 16, 2012).</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70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8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Exclusive License Agreement, dated as of June 6, 2006, by and between the Registrant and United Therapeutics Corporation</w:t>
              </w:r>
            </w:hyperlink>
          </w:p>
        </w:tc>
        <w:tc>
          <w:tcPr>
            <w:tcW w:w="5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(incorporated by reference to Exhibit 10.12 to the Company's Registration Statement on Form S-1, File No. 333-171375, as</w:t>
              </w:r>
            </w:hyperlink>
          </w:p>
        </w:tc>
        <w:tc>
          <w:tcPr>
            <w:tcW w:w="6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amended on March 16, 2012).</w:t>
              </w:r>
            </w:hyperlink>
          </w:p>
        </w:tc>
        <w:tc>
          <w:tcPr>
            <w:tcW w:w="73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Purchase and Sale Agreement, dated as of June 9, 2006, by and between the Registrant and Rune Healthcare Limited.</w:t>
              </w:r>
            </w:hyperlink>
          </w:p>
        </w:tc>
        <w:tc>
          <w:tcPr>
            <w:tcW w:w="10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7"/>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of Indemnification Agreement (incorporated by reference to Exhibit 10.20 to the Company's Registration Statement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S-1, File No. 333-171375, as amended on February 14, 2012.</w:t>
              </w:r>
            </w:hyperlink>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323"/>
        </w:trPr>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8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172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 *+</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0775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55"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Offer Letter, dated June 10, 2005, to Dr. Padmanabh P. Bhatt from the Registrant (incorporated by reference to Exhibit 10.22 to the</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Company's Registration Statement on Form S-1, File No. 333-171375, as amended on March 16, 2012).</w:t>
        </w:r>
      </w:hyperlink>
    </w:p>
    <w:p>
      <w:pPr>
        <w:spacing w:after="0" w:line="256" w:lineRule="exact"/>
        <w:rPr>
          <w:sz w:val="20"/>
          <w:szCs w:val="20"/>
          <w:color w:val="auto"/>
        </w:rPr>
      </w:pPr>
    </w:p>
    <w:p>
      <w:pPr>
        <w:jc w:val="both"/>
        <w:ind w:right="660"/>
        <w:spacing w:after="0" w:line="266" w:lineRule="auto"/>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Amended and Restated Employment Agreement, dated February 29, 2012, by and between the Registrant and Jack Khattar</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(incorporated by reference to Exhibit 10.23 to the Company's Registration Statement on Form S-1, File No. 333-171375, as</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amended on March 16, 2012).</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180" w:space="500"/>
            <w:col w:w="9560"/>
          </w:cols>
          <w:pgMar w:left="320" w:top="121" w:right="339" w:bottom="1440" w:gutter="0" w:footer="0" w:header="0"/>
          <w:type w:val="continuous"/>
        </w:sectPr>
      </w:pPr>
    </w:p>
    <w:p>
      <w:pPr>
        <w:spacing w:after="0" w:line="57"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Form of Time-Based Incentive Stock Option Agreement under the Supernus Pharmaceuticals, Inc. 2012 Equity Incentive Plan, as</w:t>
              </w:r>
            </w:hyperlink>
          </w:p>
        </w:tc>
        <w:tc>
          <w:tcPr>
            <w:tcW w:w="2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amended (incorporated by reference to Exhibit 10.26 to the Company's Registration Statement on Form S-1, File No. 333-171375,</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as amended on April 11, 2012).</w:t>
              </w:r>
            </w:hyperlink>
          </w:p>
        </w:tc>
        <w:tc>
          <w:tcPr>
            <w:tcW w:w="72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5"/>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Non-Statutory Time-Based Stock Option Agreement under the Supernus Pharmaceuticals, Inc. 2012 Equity Incentive Plan,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2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as amended (incorporated by reference to Exhibit 10.27 to the Company's Registration Statement on Form S-1, File No. 333-</w:t>
              </w:r>
            </w:hyperlink>
          </w:p>
        </w:tc>
        <w:tc>
          <w:tcPr>
            <w:tcW w:w="480" w:type="dxa"/>
            <w:vAlign w:val="bottom"/>
            <w:tcBorders>
              <w:top w:val="single" w:sz="8" w:color="0000FF"/>
            </w:tcBorders>
            <w:gridSpan w:val="9"/>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171375, as amended on April 11, 2012).</w:t>
              </w:r>
            </w:hyperlink>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5"/>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Commercial Supply Agreement, dated August 23, 2012, by and among Patheon, Inc. and the Company (incorporated by reference</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8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to Exhibit 10.1 to the Form 8-K filed on February 7, 2013, File No., 001-35518).</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300" w:type="dxa"/>
            <w:vAlign w:val="bottom"/>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5"/>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Commercial Supply Agreement dated December 15, 2012 by and among Catalent Pharma Solutions, LLC and the Company</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(incorporated by reference to Exhibit 10.1 to the Form 8-K filed on August 21, 2013, File No. 001-35518).</w:t>
              </w:r>
            </w:hyperlink>
          </w:p>
        </w:tc>
        <w:tc>
          <w:tcPr>
            <w:tcW w:w="1260" w:type="dxa"/>
            <w:vAlign w:val="bottom"/>
            <w:tcBorders>
              <w:top w:val="single" w:sz="8" w:color="0000FF"/>
            </w:tcBorders>
            <w:gridSpan w:val="4"/>
          </w:tcPr>
          <w:p>
            <w:pPr>
              <w:spacing w:after="0"/>
              <w:rPr>
                <w:sz w:val="17"/>
                <w:szCs w:val="17"/>
                <w:color w:val="auto"/>
              </w:rPr>
            </w:pPr>
          </w:p>
        </w:tc>
        <w:tc>
          <w:tcPr>
            <w:tcW w:w="6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Royalty Interest Acquisition Agreement, dated July 1, 2014, by and between Supernus Pharmaceuticals, Inc. and HealthCare</w:t>
              </w:r>
            </w:hyperlink>
          </w:p>
        </w:tc>
        <w:tc>
          <w:tcPr>
            <w:tcW w:w="5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Royalty Partners III, L.P. (incorporated by reference to Exhibit 10.1 to the Form 8-K filed on July 8, 2014, File No. 001-35518).</w:t>
              </w:r>
            </w:hyperlink>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Security Agreement, dated July 1, 2014, by and between Supernus Pharmaceuticals, Inc. and HealthCare Royalty Partners III, L.P.</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(incorporated by reference to Exhibit 10.2 to the Form 8-K filed on July 8, 2014, File No. 001-35518).</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5"/>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Form of Executive Retention Agreement (incorporated by reference to Exhibit 10.16 to the Form 10-K filed on February 27, 2024,</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File No. 001-35518).</w:t>
              </w:r>
            </w:hyperlink>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Amendment to Amended and Restated Employment Agreement, dated August 8, 2014, by and between Supernus</w:t>
              </w:r>
            </w:hyperlink>
          </w:p>
        </w:tc>
        <w:tc>
          <w:tcPr>
            <w:tcW w:w="13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Pharmaceuticals, Inc. and Jack Khattar (incorporated by reference to Exhibit 10.2 to the Form 8-K filed on August 11, 2014, File</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8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No. 001-35518).</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5"/>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Second Amendment to Amended and Restated Employment Agreement, dated March 2, 2016, by and between Supernus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Pharmaceuticals, Inc. and Jack Khattar (incorporated by reference to Exhibit 10.1 to the Form 8-K filed on March 4, 2016, File</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No. 001-35518).</w:t>
              </w:r>
            </w:hyperlink>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5"/>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Settlement Agreement, dated October 14, 2015, by and between Supernus Pharmaceuticals, Inc., Par Pharmaceutical</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60" w:type="dxa"/>
            <w:vAlign w:val="bottom"/>
            <w:gridSpan w:val="25"/>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Companies, Inc., and Par Pharmaceutical, Inc. (incorporated by reference to Exhibit 10.36 to the Company's Annual Report 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2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10-K for the period ended December 31, 2015, filed on March 9, 2016, File No. 001-35518).</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720" w:type="dxa"/>
            <w:vAlign w:val="bottom"/>
          </w:tcPr>
          <w:p>
            <w:pPr>
              <w:spacing w:after="0" w:line="20" w:lineRule="exact"/>
              <w:rPr>
                <w:sz w:val="1"/>
                <w:szCs w:val="1"/>
                <w:color w:val="auto"/>
              </w:rPr>
            </w:pPr>
          </w:p>
        </w:tc>
        <w:tc>
          <w:tcPr>
            <w:tcW w:w="71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1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gridSpan w:val="25"/>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Supernus Pharmaceuticals, Inc. Third Amended and Restated 2012 Equity Incentive Plan (incorporated by reference to Appendix A</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8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to the Company's Proxy Statement on Form DEF 14A, filed on April 27, 2018, File No. 001-35518).</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067"/>
        </w:trPr>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920" w:type="dxa"/>
            <w:vAlign w:val="bottom"/>
            <w:tcBorders>
              <w:top w:val="single" w:sz="8" w:color="0000FF"/>
              <w:bottom w:val="single" w:sz="8" w:color="9A9A9A"/>
            </w:tcBorders>
          </w:tcPr>
          <w:p>
            <w:pPr>
              <w:spacing w:after="0"/>
              <w:rPr>
                <w:sz w:val="24"/>
                <w:szCs w:val="24"/>
                <w:color w:val="auto"/>
              </w:rPr>
            </w:pPr>
          </w:p>
        </w:tc>
        <w:tc>
          <w:tcPr>
            <w:tcW w:w="13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9"/>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4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Supernus Pharmaceuticals, Inc. Second Amended and Restated 2012 Employee Stock Purchase Plan (incorporated by reference to</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Appendix B to the Company's Proxy Statement on Form DEF 14A, filed on April 19, 2016, File No. 001-35518).</w:t>
              </w:r>
            </w:hyperlink>
          </w:p>
        </w:tc>
        <w:tc>
          <w:tcPr>
            <w:tcW w:w="1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3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Settlement Agreement, dated March 6, 2017, by and between Supernus Pharmaceuticals, Inc., Zydus Pharmaceuticals (USA) Inc.,</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and Cadila Healthcare Limited (incorporated by reference to Exhibit 10.1 to the Company's Quarterly Report on Form 10-Q for the</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9"/>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period ended March 31, 2017, filed on May 9, 2017, File No. 001-35518).</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0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Term Sheet Agreement, dated March 6, 2017, by and between Supernus Pharmaceuticals, Inc., Actavis Laboratories, FL, Inc.,</w:t>
              </w:r>
            </w:hyperlink>
          </w:p>
        </w:tc>
        <w:tc>
          <w:tcPr>
            <w:tcW w:w="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9"/>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Actavis Pharma, Inc., and Watson Laboratories, Inc. (incorporated by reference to Exhibit 10.2 to the Company's Quarterly Report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on Form 10-Q for the period ended March 31, 2017, filed on May 9, 2017, File No. 001-35518).</w:t>
              </w:r>
            </w:hyperlink>
          </w:p>
        </w:tc>
        <w:tc>
          <w:tcPr>
            <w:tcW w:w="2460" w:type="dxa"/>
            <w:vAlign w:val="bottom"/>
            <w:tcBorders>
              <w:top w:val="single" w:sz="8" w:color="0000FF"/>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1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Settlement Agreement, dated March 13, 2017, by and between Supernus Pharmaceuticals, Inc., Actavis Laboratories, FL, Inc.,</w:t>
              </w:r>
            </w:hyperlink>
          </w:p>
        </w:tc>
        <w:tc>
          <w:tcPr>
            <w:tcW w:w="4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9"/>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Actavis Pharma, Inc., and Watson Laboratories, Inc. (incorporated by reference to Exhibit 10.3 to the Company's Quarterly Report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on Form 10-Q for the period ended March 31, 2017, filed on May 9, 2017, File No. 001-35518).</w:t>
              </w:r>
            </w:hyperlink>
          </w:p>
        </w:tc>
        <w:tc>
          <w:tcPr>
            <w:tcW w:w="2460" w:type="dxa"/>
            <w:vAlign w:val="bottom"/>
            <w:tcBorders>
              <w:top w:val="single" w:sz="8" w:color="0000FF"/>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10.25 *+</w:t>
      </w: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10.26 *</w:t>
      </w: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10.27 *</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10.28 ††#*</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10.29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10.30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10.31 ††#*</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10.32 ††*</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Third Amendment to Amended and Restated Employment Agreement, dated May 8, 2018, between Supernus Pharmaceuticals, Inc.</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and Jack Khattar (incorporated by reference to Exhibit 10.1 to the Form 8-K filed on May 11, 2018, File No. 001-35518).</w:t>
        </w:r>
      </w:hyperlink>
    </w:p>
    <w:p>
      <w:pPr>
        <w:spacing w:after="0" w:line="301" w:lineRule="exact"/>
        <w:rPr>
          <w:sz w:val="20"/>
          <w:szCs w:val="20"/>
          <w:color w:val="auto"/>
        </w:rPr>
      </w:pPr>
    </w:p>
    <w:p>
      <w:pPr>
        <w:ind w:right="240"/>
        <w:spacing w:after="0" w:line="282"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Lease Agreement, dated January 31, 2019, between Advent Key West, LLC and Supernus Pharmaceuticals, Inc. (incorporated by</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reference to Exhibit 10.1 to the Form 8-K filed on February 5, 2019, File No. 001-35518).</w:t>
        </w:r>
      </w:hyperlink>
    </w:p>
    <w:p>
      <w:pPr>
        <w:spacing w:after="0" w:line="243" w:lineRule="exact"/>
        <w:rPr>
          <w:sz w:val="20"/>
          <w:szCs w:val="20"/>
          <w:color w:val="auto"/>
        </w:rPr>
      </w:pPr>
    </w:p>
    <w:p>
      <w:pPr>
        <w:ind w:right="40"/>
        <w:spacing w:after="0" w:line="250" w:lineRule="auto"/>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Form of Performance Share Unit Award Agreement, issued under the Amended and Restated Stock Incentive Plan, (incorporated by</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reference to Exhibit 10.2 to the Form 8-K filed on February 27, 2020, File No. 001-35518).</w:t>
        </w:r>
      </w:hyperlink>
    </w:p>
    <w:p>
      <w:pPr>
        <w:spacing w:after="0" w:line="244" w:lineRule="exact"/>
        <w:rPr>
          <w:sz w:val="20"/>
          <w:szCs w:val="20"/>
          <w:color w:val="auto"/>
        </w:rPr>
      </w:pPr>
    </w:p>
    <w:p>
      <w:pPr>
        <w:ind w:right="180"/>
        <w:spacing w:after="0" w:line="250" w:lineRule="auto"/>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Development and Option Agreement, dated April 21, 2020, by and between Navitor Pharmaceuticals, Inc. and Supernus</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Pharmaceuticals, Inc. (incorporated by reference to Exhibit 10.1 to the Form 10-Q filed on August 17, 2020, File No. 001-35518).</w:t>
        </w:r>
      </w:hyperlink>
    </w:p>
    <w:p>
      <w:pPr>
        <w:spacing w:after="0" w:line="24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Amended and Restated Distribution, Development, Commercialization and Supply Agreement, dated January 15, 2016, by and</w:t>
        </w:r>
      </w:hyperlink>
    </w:p>
    <w:p>
      <w:pPr>
        <w:spacing w:after="0" w:line="2" w:lineRule="exact"/>
        <w:rPr>
          <w:sz w:val="20"/>
          <w:szCs w:val="20"/>
          <w:color w:val="auto"/>
        </w:rPr>
      </w:pPr>
    </w:p>
    <w:p>
      <w:pPr>
        <w:ind w:right="120"/>
        <w:spacing w:after="0" w:line="226" w:lineRule="auto"/>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between Britannia Pharmaceuticals Limited and US WorldMeds, LLC (incorporated by reference to Exhibit 10.2 to the Form 10-Q</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filed on August 17, 2020, File No. 001-35518).</w:t>
        </w:r>
      </w:hyperlink>
    </w:p>
    <w:p>
      <w:pPr>
        <w:spacing w:after="0" w:line="25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First Amendment to Amended and Restated Distribution, Development, Commercialization and Supply Agreement, dated February</w:t>
        </w:r>
      </w:hyperlink>
    </w:p>
    <w:p>
      <w:pPr>
        <w:spacing w:after="0" w:line="2" w:lineRule="exact"/>
        <w:rPr>
          <w:sz w:val="20"/>
          <w:szCs w:val="20"/>
          <w:color w:val="auto"/>
        </w:rPr>
      </w:pPr>
    </w:p>
    <w:p>
      <w:pPr>
        <w:ind w:right="180"/>
        <w:spacing w:after="0" w:line="226" w:lineRule="auto"/>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19, 2020, by and between Britannia Pharmaceuticals Limited and US WorldMeds, LLC (incorporated by reference to Exhibit 10.3</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to the Form 10-Q filed on August 17, 2020, File No. 001-35518).</w:t>
        </w:r>
      </w:hyperlink>
    </w:p>
    <w:p>
      <w:pPr>
        <w:spacing w:after="0" w:line="252" w:lineRule="exact"/>
        <w:rPr>
          <w:sz w:val="20"/>
          <w:szCs w:val="20"/>
          <w:color w:val="auto"/>
        </w:rPr>
      </w:pPr>
    </w:p>
    <w:p>
      <w:pPr>
        <w:ind w:right="640"/>
        <w:spacing w:after="0" w:line="250" w:lineRule="auto"/>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Letter Agreement Re: Memorandum of Understanding for the Supply of Pens, effective February 25, 2019 (incorporated by</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reference to Exhibit 10.4 to the Form 10-Q filed on August 17, 2020, File No. 001-35518).</w:t>
        </w:r>
      </w:hyperlink>
    </w:p>
    <w:p>
      <w:pPr>
        <w:spacing w:after="0" w:line="244" w:lineRule="exact"/>
        <w:rPr>
          <w:sz w:val="20"/>
          <w:szCs w:val="20"/>
          <w:color w:val="auto"/>
        </w:rPr>
      </w:pPr>
    </w:p>
    <w:p>
      <w:pPr>
        <w:ind w:right="360"/>
        <w:spacing w:after="0" w:line="250" w:lineRule="auto"/>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Letter Agreement Re: Exclusive Supply of Pens, effective September 23, 2019 (incorporated by reference to Exhibit 10.5 to the</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Form 10-Q filed on August 17, 2020, File No. 001-35518).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788035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60" w:space="320"/>
            <w:col w:w="9560"/>
          </w:cols>
          <w:pgMar w:left="320" w:top="121"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40" w:type="dxa"/>
            <w:vAlign w:val="bottom"/>
            <w:gridSpan w:val="23"/>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Offer Letter to Timothy C. Dec (incorporated by reference to Exhibit 10.1 to the Form 8-K filed on July 29, 2021, File No. 001-</w:t>
              </w:r>
            </w:hyperlink>
          </w:p>
        </w:tc>
        <w:tc>
          <w:tcPr>
            <w:tcW w:w="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48">
              <w:r>
                <w:rPr>
                  <w:rFonts w:ascii="Times New Roman" w:cs="Times New Roman" w:eastAsia="Times New Roman" w:hAnsi="Times New Roman"/>
                  <w:sz w:val="18"/>
                  <w:szCs w:val="18"/>
                  <w:color w:val="0000FF"/>
                  <w:w w:val="97"/>
                </w:rPr>
                <w:t>35518).</w:t>
              </w:r>
            </w:hyperlink>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9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Commercial Supply Agreement, dated May 12, 2021, by and between Supernus Pharmaceuticals, Inc. and Catalent Pharma</w:t>
              </w:r>
            </w:hyperlink>
          </w:p>
        </w:tc>
        <w:tc>
          <w:tcPr>
            <w:tcW w:w="6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6"/>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Solutions, LLC (incorporated by reference to Exhibit 10.1 to the Form 10-Q filed on August 6, 2021, File No. 001-35518).</w:t>
              </w:r>
            </w:hyperlink>
          </w:p>
        </w:tc>
        <w:tc>
          <w:tcPr>
            <w:tcW w:w="0" w:type="dxa"/>
            <w:vAlign w:val="bottom"/>
          </w:tcPr>
          <w:p>
            <w:pPr>
              <w:spacing w:after="0"/>
              <w:rPr>
                <w:sz w:val="1"/>
                <w:szCs w:val="1"/>
                <w:color w:val="auto"/>
              </w:rPr>
            </w:pPr>
          </w:p>
        </w:tc>
      </w:tr>
      <w:tr>
        <w:trPr>
          <w:trHeight w:val="479"/>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84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API Supply Agreement, dated July 13, 2021, by and between Supernus Pharmaceuticals, Inc. and Bachem Americas, Inc.</w:t>
              </w:r>
            </w:hyperlink>
          </w:p>
        </w:tc>
        <w:tc>
          <w:tcPr>
            <w:tcW w:w="7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(incorporated by reference to Exhibit 10.2 to the Form 10-Q filed on August 6, 2021, File No. 001-35518).</w:t>
              </w:r>
            </w:hyperlink>
          </w:p>
        </w:tc>
        <w:tc>
          <w:tcPr>
            <w:tcW w:w="1060" w:type="dxa"/>
            <w:vAlign w:val="bottom"/>
            <w:tcBorders>
              <w:top w:val="single" w:sz="8" w:color="0000FF"/>
            </w:tcBorders>
            <w:gridSpan w:val="2"/>
          </w:tcPr>
          <w:p>
            <w:pPr>
              <w:spacing w:after="0"/>
              <w:rPr>
                <w:sz w:val="15"/>
                <w:szCs w:val="15"/>
                <w:color w:val="auto"/>
              </w:rPr>
            </w:pPr>
          </w:p>
        </w:tc>
        <w:tc>
          <w:tcPr>
            <w:tcW w:w="3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Time-Based Incentive Stock Option Agreement, for awards issued before 2024 under the Supernus Pharmaceuticals, Inc.</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2021 Equity Incentive Plan (incorporated by reference to Exhibit 10.3 to the Form 10-Q filed on August 6, 2021, File No. 001-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251">
              <w:r>
                <w:rPr>
                  <w:rFonts w:ascii="Times New Roman" w:cs="Times New Roman" w:eastAsia="Times New Roman" w:hAnsi="Times New Roman"/>
                  <w:sz w:val="18"/>
                  <w:szCs w:val="18"/>
                  <w:color w:val="0000FF"/>
                  <w:w w:val="97"/>
                </w:rPr>
                <w:t>35518).</w:t>
              </w:r>
            </w:hyperlink>
          </w:p>
        </w:tc>
        <w:tc>
          <w:tcPr>
            <w:tcW w:w="34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6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2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Form of Time-Based Incentive Stock Option Agreement, for awards issued after 2023 under the Supernus Pharmaceuticals, Inc.</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gridSpan w:val="26"/>
          </w:tcPr>
          <w:p>
            <w:pPr>
              <w:spacing w:after="0" w:line="169"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2021 Equity Incentive Plan (incorporated by reference to Exhibit 10.38 to the Form 10-K filed on February 27, 2024, File No. 001-</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52">
              <w:r>
                <w:rPr>
                  <w:rFonts w:ascii="Times New Roman" w:cs="Times New Roman" w:eastAsia="Times New Roman" w:hAnsi="Times New Roman"/>
                  <w:sz w:val="18"/>
                  <w:szCs w:val="18"/>
                  <w:color w:val="0000FF"/>
                  <w:w w:val="97"/>
                </w:rPr>
                <w:t>35518).</w:t>
              </w:r>
            </w:hyperlink>
          </w:p>
        </w:tc>
        <w:tc>
          <w:tcPr>
            <w:tcW w:w="3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Form of Non-Statutory Time-Based Stock Option Agreement, for awards issued before 2024 under the Supernus Pharmaceuticals,</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Inc. 2021 Equity Incentive Plan (incorporated by reference to Exhibit 10.4 to the Form 10-Q filed on August 6, 2021, File No. 001</w:t>
              </w:r>
            </w:hyperlink>
          </w:p>
        </w:tc>
        <w:tc>
          <w:tcPr>
            <w:tcW w:w="180" w:type="dxa"/>
            <w:vAlign w:val="bottom"/>
            <w:gridSpan w:val="6"/>
          </w:tcPr>
          <w:p>
            <w:pPr>
              <w:jc w:val="right"/>
              <w:ind w:right="100"/>
              <w:spacing w:after="0" w:line="182"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253">
              <w:r>
                <w:rPr>
                  <w:rFonts w:ascii="Times New Roman" w:cs="Times New Roman" w:eastAsia="Times New Roman" w:hAnsi="Times New Roman"/>
                  <w:sz w:val="18"/>
                  <w:szCs w:val="18"/>
                  <w:color w:val="0000FF"/>
                  <w:w w:val="97"/>
                </w:rPr>
                <w:t>35518).</w:t>
              </w:r>
            </w:hyperlink>
          </w:p>
        </w:tc>
        <w:tc>
          <w:tcPr>
            <w:tcW w:w="34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6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3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Non-Statutory Time-Based Stock Option Agreement, for awards issued after 2023 under the Supernus Pharmaceuticals,</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gridSpan w:val="26"/>
          </w:tcPr>
          <w:p>
            <w:pPr>
              <w:spacing w:after="0" w:line="169"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Inc. 2021 Equity Incentive Plan (incorporated by reference to Exhibit 10.40 to the Form 10-K filed on February 27, 2024, File No.</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001-35518).</w:t>
              </w:r>
            </w:hyperlink>
          </w:p>
        </w:tc>
        <w:tc>
          <w:tcPr>
            <w:tcW w:w="620" w:type="dxa"/>
            <w:vAlign w:val="bottom"/>
            <w:tcBorders>
              <w:top w:val="single" w:sz="8" w:color="0000FF"/>
            </w:tcBorders>
          </w:tcPr>
          <w:p>
            <w:pPr>
              <w:spacing w:after="0"/>
              <w:rPr>
                <w:sz w:val="13"/>
                <w:szCs w:val="13"/>
                <w:color w:val="auto"/>
              </w:rPr>
            </w:pPr>
          </w:p>
        </w:tc>
        <w:tc>
          <w:tcPr>
            <w:tcW w:w="6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Form of Restricted Stock Unit Award Agreement, for awards issued before 2024 under the Supernus Pharmaceuticals, Inc. 2021</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Equity Incentive Plan (incorporated by reference to Exhibit 10.5 to the Form 10-Q filed on August 6, 2021, File No. 001-35518)</w:t>
              </w:r>
            </w:hyperlink>
          </w:p>
        </w:tc>
        <w:tc>
          <w:tcPr>
            <w:tcW w:w="60" w:type="dxa"/>
            <w:vAlign w:val="bottom"/>
            <w:tcBorders>
              <w:bottom w:val="single" w:sz="8" w:color="0000FF"/>
            </w:tcBorders>
            <w:gridSpan w:val="3"/>
          </w:tcPr>
          <w:p>
            <w:pPr>
              <w:jc w:val="right"/>
              <w:spacing w:after="0" w:line="182" w:lineRule="exact"/>
              <w:rPr>
                <w:rFonts w:ascii="Times New Roman" w:cs="Times New Roman" w:eastAsia="Times New Roman" w:hAnsi="Times New Roman"/>
                <w:sz w:val="18"/>
                <w:szCs w:val="18"/>
                <w:color w:val="0000FF"/>
                <w:w w:val="87"/>
              </w:rPr>
            </w:pPr>
            <w:hyperlink r:id="rId255">
              <w:r>
                <w:rPr>
                  <w:rFonts w:ascii="Times New Roman" w:cs="Times New Roman" w:eastAsia="Times New Roman" w:hAnsi="Times New Roman"/>
                  <w:sz w:val="18"/>
                  <w:szCs w:val="18"/>
                  <w:color w:val="0000FF"/>
                  <w:w w:val="87"/>
                </w:rPr>
                <w:t>.</w:t>
              </w:r>
            </w:hyperlink>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Form of Restricted Stock Unit Award Agreement, for awards issued after 2023 under the Supernus Pharmaceuticals, Inc. 2021</w:t>
              </w:r>
            </w:hyperlink>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Equity Incentive Plan (incorporated by reference to Exhibit 10.42 to the Form 10-K filed on February 27, 2024, File No. 001-</w:t>
              </w:r>
            </w:hyperlink>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56">
              <w:r>
                <w:rPr>
                  <w:rFonts w:ascii="Times New Roman" w:cs="Times New Roman" w:eastAsia="Times New Roman" w:hAnsi="Times New Roman"/>
                  <w:sz w:val="18"/>
                  <w:szCs w:val="18"/>
                  <w:color w:val="0000FF"/>
                  <w:w w:val="97"/>
                </w:rPr>
                <w:t>35518).</w:t>
              </w:r>
            </w:hyperlink>
          </w:p>
        </w:tc>
        <w:tc>
          <w:tcPr>
            <w:tcW w:w="3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Performance Share Unit Award Agreement, for awards issued before 2024 under the Supernus Pharmaceuticals, Inc. 2021</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Equity Incentive Plan (incorporated by reference to Exhibit 10.6 to the Form 10-Q filed on August 6, 2021, File No. 001-35518).</w:t>
              </w:r>
            </w:hyperlink>
          </w:p>
        </w:tc>
        <w:tc>
          <w:tcPr>
            <w:tcW w:w="14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Form of Performance Share Unit Award Agreement, for awards issued during 2024 under the Supernus Pharmaceuticals, Inc. 2021</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Equity Incentive Plan (incorporated by reference to Exhibit 10.44 to the Form 10-K filed on February 27, 2024, File No. 001-</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258">
              <w:r>
                <w:rPr>
                  <w:rFonts w:ascii="Times New Roman" w:cs="Times New Roman" w:eastAsia="Times New Roman" w:hAnsi="Times New Roman"/>
                  <w:sz w:val="18"/>
                  <w:szCs w:val="18"/>
                  <w:color w:val="0000FF"/>
                  <w:w w:val="97"/>
                </w:rPr>
                <w:t>35518).</w:t>
              </w:r>
            </w:hyperlink>
          </w:p>
        </w:tc>
        <w:tc>
          <w:tcPr>
            <w:tcW w:w="34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6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Amendment to Deed of Lease, August 23, 2021, by and between Supernus Pharmaceuticals, Inc. and Key West MD Owner, LLC</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(incorporated by reference to Exhibit 10.1 to the Form 10-Q filed on November 5, 2021, File No. 001-35518)</w:t>
              </w:r>
              <w:r>
                <w:rPr>
                  <w:rFonts w:ascii="Times New Roman" w:cs="Times New Roman" w:eastAsia="Times New Roman" w:hAnsi="Times New Roman"/>
                  <w:sz w:val="18"/>
                  <w:szCs w:val="18"/>
                  <w:color w:val="000000"/>
                </w:rPr>
                <w:t>.</w:t>
              </w:r>
            </w:hyperlink>
          </w:p>
        </w:tc>
        <w:tc>
          <w:tcPr>
            <w:tcW w:w="100" w:type="dxa"/>
            <w:vAlign w:val="bottom"/>
            <w:gridSpan w:val="4"/>
          </w:tcPr>
          <w:p>
            <w:pPr>
              <w:spacing w:after="0"/>
              <w:rPr>
                <w:sz w:val="15"/>
                <w:szCs w:val="15"/>
                <w:color w:val="auto"/>
              </w:rPr>
            </w:pPr>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Amended and Restated API Supply Agreement by and between Adamas Pharma, LLC and Moehs Ibérica, S.L. (incorporated by</w:t>
              </w:r>
            </w:hyperlink>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reference to Exhibit 10.2 to the Form 10-Q filed by Adamas Pharmaceuticals, Inc. on November 2, 2017, File No. 001-36399)</w:t>
              </w:r>
              <w:r>
                <w:rPr>
                  <w:rFonts w:ascii="Times New Roman" w:cs="Times New Roman" w:eastAsia="Times New Roman" w:hAnsi="Times New Roman"/>
                  <w:sz w:val="18"/>
                  <w:szCs w:val="18"/>
                  <w:color w:val="000000"/>
                </w:rPr>
                <w:t>.</w:t>
              </w:r>
            </w:hyperlink>
          </w:p>
        </w:tc>
        <w:tc>
          <w:tcPr>
            <w:tcW w:w="140" w:type="dxa"/>
            <w:vAlign w:val="bottom"/>
            <w:gridSpan w:val="6"/>
          </w:tcPr>
          <w:p>
            <w:pPr>
              <w:spacing w:after="0"/>
              <w:rPr>
                <w:sz w:val="14"/>
                <w:szCs w:val="14"/>
                <w:color w:val="auto"/>
              </w:rPr>
            </w:pPr>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7580" w:type="dxa"/>
            <w:vAlign w:val="bottom"/>
            <w:gridSpan w:val="7"/>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2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Settlement Agreement, dated as of December 31, 2022, by and between Supernus Pharmaceuticals, Inc., Zydus Pharmaceuticals</w:t>
              </w:r>
            </w:hyperlink>
          </w:p>
        </w:tc>
        <w:tc>
          <w:tcPr>
            <w:tcW w:w="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gridSpan w:val="26"/>
          </w:tcPr>
          <w:p>
            <w:pPr>
              <w:spacing w:after="0" w:line="169"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(USA) Inc. and Zydus Lifesciences Limited. (incorporated by reference to Exhibit 10.71 to the Form 10-K filed on March 9, 2023,</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File No. 001-35518).</w:t>
              </w:r>
            </w:hyperlink>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040"/>
        </w:trPr>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172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10.48 ††*</w:t>
      </w:r>
    </w:p>
    <w:p>
      <w:pPr>
        <w:spacing w:after="0" w:line="200" w:lineRule="exact"/>
        <w:rPr>
          <w:sz w:val="20"/>
          <w:szCs w:val="20"/>
          <w:color w:val="auto"/>
        </w:rPr>
      </w:pPr>
    </w:p>
    <w:p>
      <w:pPr>
        <w:spacing w:after="0" w:line="26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10.49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0775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41" w:lineRule="exact"/>
        <w:rPr>
          <w:sz w:val="20"/>
          <w:szCs w:val="20"/>
          <w:color w:val="auto"/>
        </w:rPr>
      </w:pPr>
    </w:p>
    <w:p>
      <w:pPr>
        <w:ind w:right="340"/>
        <w:spacing w:after="0" w:line="250" w:lineRule="auto"/>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Settlement Agreement, dated as of June 21, 2023, by and between Supernus Pharmaceuticals, Inc. with Apotex Inc. and Apotex</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Corp (incorporated by reference to Exhibit 10.48 to the Form 10-K filed on February 27, 2024, File No. 001-35518).</w:t>
        </w:r>
      </w:hyperlink>
    </w:p>
    <w:p>
      <w:pPr>
        <w:spacing w:after="0" w:line="244" w:lineRule="exact"/>
        <w:rPr>
          <w:sz w:val="20"/>
          <w:szCs w:val="20"/>
          <w:color w:val="auto"/>
        </w:rPr>
      </w:pPr>
    </w:p>
    <w:p>
      <w:pPr>
        <w:ind w:right="40"/>
        <w:spacing w:after="0" w:line="250" w:lineRule="auto"/>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u w:val="single" w:color="auto"/>
            <w:color w:val="0000FF"/>
          </w:rPr>
          <w:t>Credit Line Agreement between UBS Bank USA and Supernus Pharmaceuticals, Inc. dated as of February 8, 2023 (incorporated by</w:t>
        </w:r>
      </w:hyperlink>
      <w:r>
        <w:rPr>
          <w:rFonts w:ascii="Times New Roman" w:cs="Times New Roman" w:eastAsia="Times New Roman" w:hAnsi="Times New Roman"/>
          <w:sz w:val="18"/>
          <w:szCs w:val="18"/>
          <w:u w:val="single" w:color="auto"/>
          <w:color w:val="0000FF"/>
        </w:rPr>
        <w:t xml:space="preserve"> </w:t>
      </w:r>
      <w:hyperlink r:id="rId267">
        <w:r>
          <w:rPr>
            <w:rFonts w:ascii="Times New Roman" w:cs="Times New Roman" w:eastAsia="Times New Roman" w:hAnsi="Times New Roman"/>
            <w:sz w:val="18"/>
            <w:szCs w:val="18"/>
            <w:u w:val="single" w:color="auto"/>
            <w:color w:val="0000FF"/>
          </w:rPr>
          <w:t>reference to Exhibit 10.1 to the Form 8-K filed on February 14, 2023, File No. 001-35518)</w:t>
        </w:r>
        <w:r>
          <w:rPr>
            <w:rFonts w:ascii="Times New Roman" w:cs="Times New Roman" w:eastAsia="Times New Roman" w:hAnsi="Times New Roman"/>
            <w:sz w:val="18"/>
            <w:szCs w:val="18"/>
            <w:color w:val="000000"/>
          </w:rPr>
          <w:t>.</w:t>
        </w:r>
      </w:hyperlink>
    </w:p>
    <w:p>
      <w:pPr>
        <w:spacing w:after="0" w:line="24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68">
        <w:r>
          <w:rPr>
            <w:rFonts w:ascii="Times New Roman" w:cs="Times New Roman" w:eastAsia="Times New Roman" w:hAnsi="Times New Roman"/>
            <w:sz w:val="18"/>
            <w:szCs w:val="18"/>
            <w:u w:val="single" w:color="auto"/>
            <w:color w:val="0000FF"/>
          </w:rPr>
          <w:t>Form of Performance Share Unit Award Agreement, for awards issued after 2024 under the Supernus Pharmaceuticals, Inc.</w:t>
        </w:r>
      </w:hyperlink>
    </w:p>
    <w:p>
      <w:pPr>
        <w:spacing w:after="0" w:line="2" w:lineRule="exact"/>
        <w:rPr>
          <w:sz w:val="20"/>
          <w:szCs w:val="20"/>
          <w:color w:val="auto"/>
        </w:rPr>
      </w:pPr>
    </w:p>
    <w:p>
      <w:pPr>
        <w:ind w:right="120"/>
        <w:spacing w:after="0" w:line="226" w:lineRule="auto"/>
        <w:rPr>
          <w:rFonts w:ascii="Times New Roman" w:cs="Times New Roman" w:eastAsia="Times New Roman" w:hAnsi="Times New Roman"/>
          <w:sz w:val="18"/>
          <w:szCs w:val="18"/>
          <w:u w:val="single" w:color="auto"/>
          <w:color w:val="0000FF"/>
        </w:rPr>
      </w:pPr>
      <w:hyperlink r:id="rId268">
        <w:r>
          <w:rPr>
            <w:rFonts w:ascii="Times New Roman" w:cs="Times New Roman" w:eastAsia="Times New Roman" w:hAnsi="Times New Roman"/>
            <w:sz w:val="18"/>
            <w:szCs w:val="18"/>
            <w:u w:val="single" w:color="auto"/>
            <w:color w:val="0000FF"/>
          </w:rPr>
          <w:t>Amended and Restated 2021 Equity Incentive Plan (incorporated by reference to Exhibit 10.3 to the Company's Form 8-K filed on</w:t>
        </w:r>
      </w:hyperlink>
      <w:r>
        <w:rPr>
          <w:rFonts w:ascii="Times New Roman" w:cs="Times New Roman" w:eastAsia="Times New Roman" w:hAnsi="Times New Roman"/>
          <w:sz w:val="18"/>
          <w:szCs w:val="18"/>
          <w:u w:val="single" w:color="auto"/>
          <w:color w:val="0000FF"/>
        </w:rPr>
        <w:t xml:space="preserve"> </w:t>
      </w:r>
      <w:hyperlink r:id="rId268">
        <w:r>
          <w:rPr>
            <w:rFonts w:ascii="Times New Roman" w:cs="Times New Roman" w:eastAsia="Times New Roman" w:hAnsi="Times New Roman"/>
            <w:sz w:val="18"/>
            <w:szCs w:val="18"/>
            <w:u w:val="single" w:color="auto"/>
            <w:color w:val="0000FF"/>
          </w:rPr>
          <w:t>February 24, 2025, File No. 001-35518)</w:t>
        </w:r>
      </w:hyperlink>
    </w:p>
    <w:p>
      <w:pPr>
        <w:spacing w:after="0" w:line="200" w:lineRule="exact"/>
        <w:rPr>
          <w:sz w:val="20"/>
          <w:szCs w:val="20"/>
          <w:color w:val="auto"/>
        </w:rPr>
      </w:pPr>
    </w:p>
    <w:p>
      <w:pPr>
        <w:sectPr>
          <w:pgSz w:w="11900" w:h="16838" w:orient="portrait"/>
          <w:cols w:equalWidth="0" w:num="2">
            <w:col w:w="1260" w:space="420"/>
            <w:col w:w="9540"/>
          </w:cols>
          <w:pgMar w:left="320" w:top="121" w:right="359" w:bottom="1440" w:gutter="0" w:footer="0" w:header="0"/>
          <w:type w:val="continuous"/>
        </w:sectPr>
      </w:pPr>
    </w:p>
    <w:p>
      <w:pPr>
        <w:spacing w:after="0" w:line="52" w:lineRule="exact"/>
        <w:rPr>
          <w:sz w:val="20"/>
          <w:szCs w:val="20"/>
          <w:color w:val="auto"/>
        </w:rPr>
      </w:pPr>
    </w:p>
    <w:p>
      <w:pPr>
        <w:ind w:left="1680" w:right="300" w:hanging="1128"/>
        <w:spacing w:after="0" w:line="282" w:lineRule="auto"/>
        <w:tabs>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10.50 ††*</w:t>
      </w:r>
      <w:r>
        <w:rPr>
          <w:sz w:val="20"/>
          <w:szCs w:val="20"/>
          <w:color w:val="auto"/>
        </w:rPr>
        <w:tab/>
      </w:r>
      <w:hyperlink r:id="rId269">
        <w:r>
          <w:rPr>
            <w:rFonts w:ascii="Times New Roman" w:cs="Times New Roman" w:eastAsia="Times New Roman" w:hAnsi="Times New Roman"/>
            <w:sz w:val="18"/>
            <w:szCs w:val="18"/>
            <w:u w:val="single" w:color="auto"/>
            <w:color w:val="0000FF"/>
          </w:rPr>
          <w:t>Settlement Agreement, dated as of April 30, 2024, by and between Supernus Pharmaceuticals, Inc. and Ascent Pharmaceuticals,</w:t>
        </w:r>
      </w:hyperlink>
      <w:r>
        <w:rPr>
          <w:rFonts w:ascii="Times New Roman" w:cs="Times New Roman" w:eastAsia="Times New Roman" w:hAnsi="Times New Roman"/>
          <w:sz w:val="18"/>
          <w:szCs w:val="18"/>
          <w:u w:val="single" w:color="auto"/>
          <w:color w:val="0000FF"/>
        </w:rPr>
        <w:t xml:space="preserve"> </w:t>
      </w:r>
      <w:hyperlink r:id="rId269">
        <w:r>
          <w:rPr>
            <w:rFonts w:ascii="Times New Roman" w:cs="Times New Roman" w:eastAsia="Times New Roman" w:hAnsi="Times New Roman"/>
            <w:sz w:val="18"/>
            <w:szCs w:val="18"/>
            <w:u w:val="single" w:color="auto"/>
            <w:color w:val="0000FF"/>
          </w:rPr>
          <w:t>Inc. (incorporated by reference to Exhibit 10.1 to the Company’s Form 10-Q filed on August 6, 2024).</w:t>
        </w:r>
      </w:hyperlink>
    </w:p>
    <w:p>
      <w:pPr>
        <w:spacing w:after="0" w:line="216" w:lineRule="exact"/>
        <w:rPr>
          <w:sz w:val="20"/>
          <w:szCs w:val="20"/>
          <w:color w:val="auto"/>
        </w:rPr>
      </w:pPr>
    </w:p>
    <w:p>
      <w:pPr>
        <w:ind w:left="1680" w:right="20" w:hanging="1128"/>
        <w:spacing w:after="0" w:line="266" w:lineRule="auto"/>
        <w:tabs>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10.51 **</w:t>
      </w:r>
      <w:r>
        <w:rPr>
          <w:sz w:val="20"/>
          <w:szCs w:val="20"/>
          <w:color w:val="auto"/>
        </w:rPr>
        <w:tab/>
      </w:r>
      <w:hyperlink r:id="rId270">
        <w:r>
          <w:rPr>
            <w:rFonts w:ascii="Times New Roman" w:cs="Times New Roman" w:eastAsia="Times New Roman" w:hAnsi="Times New Roman"/>
            <w:sz w:val="18"/>
            <w:szCs w:val="18"/>
            <w:u w:val="single" w:color="auto"/>
            <w:color w:val="0000FF"/>
          </w:rPr>
          <w:t>Contingent Value Rights Agreement, dated as of October 28, 2021, by and between Supernus Pharmaceuticals, Inc. and American</w:t>
        </w:r>
      </w:hyperlink>
      <w:r>
        <w:rPr>
          <w:rFonts w:ascii="Times New Roman" w:cs="Times New Roman" w:eastAsia="Times New Roman" w:hAnsi="Times New Roman"/>
          <w:sz w:val="18"/>
          <w:szCs w:val="18"/>
          <w:u w:val="single" w:color="auto"/>
          <w:color w:val="0000FF"/>
        </w:rPr>
        <w:t xml:space="preserve"> </w:t>
      </w:r>
      <w:hyperlink r:id="rId270">
        <w:r>
          <w:rPr>
            <w:rFonts w:ascii="Times New Roman" w:cs="Times New Roman" w:eastAsia="Times New Roman" w:hAnsi="Times New Roman"/>
            <w:sz w:val="18"/>
            <w:szCs w:val="18"/>
            <w:u w:val="single" w:color="auto"/>
            <w:color w:val="0000FF"/>
          </w:rPr>
          <w:t>Stock Transfer &amp; Trust Company, LLC. (incorporated by reference to Index No. (d)(2)* to the Form SC TO-T/A filed on November</w:t>
        </w:r>
      </w:hyperlink>
      <w:r>
        <w:rPr>
          <w:rFonts w:ascii="Times New Roman" w:cs="Times New Roman" w:eastAsia="Times New Roman" w:hAnsi="Times New Roman"/>
          <w:sz w:val="18"/>
          <w:szCs w:val="18"/>
          <w:u w:val="single" w:color="auto"/>
          <w:color w:val="0000FF"/>
        </w:rPr>
        <w:t xml:space="preserve"> </w:t>
      </w:r>
      <w:hyperlink r:id="rId270">
        <w:r>
          <w:rPr>
            <w:rFonts w:ascii="Times New Roman" w:cs="Times New Roman" w:eastAsia="Times New Roman" w:hAnsi="Times New Roman"/>
            <w:sz w:val="18"/>
            <w:szCs w:val="18"/>
            <w:u w:val="single" w:color="auto"/>
            <w:color w:val="0000FF"/>
          </w:rPr>
          <w:t>23, 2021, File No. 005-88106).</w:t>
        </w:r>
      </w:hyperlink>
    </w:p>
    <w:p>
      <w:pPr>
        <w:spacing w:after="0" w:line="216" w:lineRule="exact"/>
        <w:rPr>
          <w:rFonts w:ascii="Times New Roman" w:cs="Times New Roman" w:eastAsia="Times New Roman" w:hAnsi="Times New Roman"/>
          <w:sz w:val="18"/>
          <w:szCs w:val="18"/>
          <w:u w:val="single" w:color="auto"/>
          <w:color w:val="0000FF"/>
        </w:rPr>
      </w:pPr>
    </w:p>
    <w:p>
      <w:pPr>
        <w:ind w:left="720"/>
        <w:spacing w:after="0"/>
        <w:tabs>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14 *</w:t>
      </w:r>
      <w:r>
        <w:rPr>
          <w:sz w:val="20"/>
          <w:szCs w:val="20"/>
          <w:color w:val="auto"/>
        </w:rPr>
        <w:tab/>
      </w:r>
      <w:hyperlink r:id="rId271">
        <w:r>
          <w:rPr>
            <w:rFonts w:ascii="Times New Roman" w:cs="Times New Roman" w:eastAsia="Times New Roman" w:hAnsi="Times New Roman"/>
            <w:sz w:val="17"/>
            <w:szCs w:val="17"/>
            <w:u w:val="single" w:color="auto"/>
            <w:color w:val="0000FF"/>
          </w:rPr>
          <w:t>Code of Ethics (incorporated by reference to Exhibit 14 to the Company's Form 8-K filed on December 20, 2024, File No. 001-</w:t>
        </w:r>
      </w:hyperlink>
    </w:p>
    <w:p>
      <w:pPr>
        <w:spacing w:after="0" w:line="41" w:lineRule="exact"/>
        <w:rPr>
          <w:rFonts w:ascii="Times New Roman" w:cs="Times New Roman" w:eastAsia="Times New Roman" w:hAnsi="Times New Roman"/>
          <w:sz w:val="18"/>
          <w:szCs w:val="18"/>
          <w:u w:val="single" w:color="auto"/>
          <w:color w:val="0000FF"/>
        </w:rPr>
      </w:pPr>
    </w:p>
    <w:p>
      <w:pPr>
        <w:ind w:left="1680"/>
        <w:spacing w:after="0"/>
        <w:rPr>
          <w:rFonts w:ascii="Times New Roman" w:cs="Times New Roman" w:eastAsia="Times New Roman" w:hAnsi="Times New Roman"/>
          <w:sz w:val="18"/>
          <w:szCs w:val="18"/>
          <w:u w:val="single" w:color="auto"/>
          <w:color w:val="0000FF"/>
        </w:rPr>
      </w:pPr>
      <w:hyperlink r:id="rId271">
        <w:r>
          <w:rPr>
            <w:rFonts w:ascii="Times New Roman" w:cs="Times New Roman" w:eastAsia="Times New Roman" w:hAnsi="Times New Roman"/>
            <w:sz w:val="18"/>
            <w:szCs w:val="18"/>
            <w:u w:val="single" w:color="auto"/>
            <w:color w:val="0000FF"/>
          </w:rPr>
          <w:t>35518).</w:t>
        </w:r>
      </w:hyperlink>
    </w:p>
    <w:p>
      <w:pPr>
        <w:spacing w:after="0" w:line="288" w:lineRule="exact"/>
        <w:rPr>
          <w:rFonts w:ascii="Times New Roman" w:cs="Times New Roman" w:eastAsia="Times New Roman" w:hAnsi="Times New Roman"/>
          <w:sz w:val="18"/>
          <w:szCs w:val="18"/>
          <w:u w:val="single" w:color="auto"/>
          <w:color w:val="0000FF"/>
        </w:rPr>
      </w:pPr>
    </w:p>
    <w:p>
      <w:pPr>
        <w:ind w:left="1680" w:right="120" w:hanging="952"/>
        <w:spacing w:after="0" w:line="250" w:lineRule="auto"/>
        <w:tabs>
          <w:tab w:leader="none" w:pos="99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Policy Statement on Securities Trades by Directors, Officers, and Employees. (incorporated by reference to Exhibit 19 to the Form 10-K filed on February 27, 2024, File No. 001-35518).</w:t>
      </w:r>
    </w:p>
    <w:p>
      <w:pPr>
        <w:spacing w:after="0" w:line="244" w:lineRule="exact"/>
        <w:rPr>
          <w:rFonts w:ascii="Times New Roman" w:cs="Times New Roman" w:eastAsia="Times New Roman" w:hAnsi="Times New Roman"/>
          <w:sz w:val="18"/>
          <w:szCs w:val="18"/>
          <w:u w:val="single" w:color="auto"/>
          <w:color w:val="0000FF"/>
        </w:rPr>
      </w:pPr>
    </w:p>
    <w:tbl>
      <w:tblPr>
        <w:tblLayout w:type="fixed"/>
        <w:tblInd w:w="600" w:type="dxa"/>
        <w:tblCellMar>
          <w:top w:w="0" w:type="dxa"/>
          <w:left w:w="0" w:type="dxa"/>
          <w:bottom w:w="0" w:type="dxa"/>
          <w:right w:w="0" w:type="dxa"/>
        </w:tblCellMar>
      </w:tblPr>
      <w:tr>
        <w:trPr>
          <w:trHeight w:val="20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69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50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23.1</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KPMG LLP.</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31.1</w:t>
            </w:r>
          </w:p>
        </w:tc>
        <w:tc>
          <w:tcPr>
            <w:tcW w:w="7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60" w:type="dxa"/>
            <w:vAlign w:val="bottom"/>
            <w:vMerge w:val="continue"/>
          </w:tcPr>
          <w:p>
            <w:pPr>
              <w:spacing w:after="0"/>
              <w:rPr>
                <w:sz w:val="24"/>
                <w:szCs w:val="24"/>
                <w:color w:val="auto"/>
              </w:rPr>
            </w:pP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w:t>
            </w:r>
          </w:p>
        </w:tc>
        <w:tc>
          <w:tcPr>
            <w:tcW w:w="6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31.2</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32.1</w:t>
            </w:r>
          </w:p>
        </w:tc>
        <w:tc>
          <w:tcPr>
            <w:tcW w:w="720" w:type="dxa"/>
            <w:vAlign w:val="bottom"/>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60" w:type="dxa"/>
            <w:vAlign w:val="bottom"/>
            <w:vMerge w:val="continue"/>
          </w:tcPr>
          <w:p>
            <w:pPr>
              <w:spacing w:after="0"/>
              <w:rPr>
                <w:sz w:val="24"/>
                <w:szCs w:val="24"/>
                <w:color w:val="auto"/>
              </w:rPr>
            </w:pP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32.2</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w:t>
            </w:r>
          </w:p>
        </w:tc>
        <w:tc>
          <w:tcPr>
            <w:tcW w:w="0" w:type="dxa"/>
            <w:vAlign w:val="bottom"/>
          </w:tcPr>
          <w:p>
            <w:pPr>
              <w:spacing w:after="0"/>
              <w:rPr>
                <w:sz w:val="1"/>
                <w:szCs w:val="1"/>
                <w:color w:val="auto"/>
              </w:rPr>
            </w:pPr>
          </w:p>
        </w:tc>
      </w:tr>
      <w:tr>
        <w:trPr>
          <w:trHeight w:val="533"/>
        </w:trPr>
        <w:tc>
          <w:tcPr>
            <w:tcW w:w="10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97 **</w:t>
            </w:r>
          </w:p>
        </w:tc>
        <w:tc>
          <w:tcPr>
            <w:tcW w:w="32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Incentive Compensation Recoupment Policy.</w:t>
            </w:r>
          </w:p>
        </w:tc>
        <w:tc>
          <w:tcPr>
            <w:tcW w:w="2160" w:type="dxa"/>
            <w:vAlign w:val="bottom"/>
            <w:tcBorders>
              <w:top w:val="single" w:sz="8" w:color="0000FF"/>
            </w:tcBorders>
          </w:tcPr>
          <w:p>
            <w:pPr>
              <w:spacing w:after="0"/>
              <w:rPr>
                <w:sz w:val="24"/>
                <w:szCs w:val="24"/>
                <w:color w:val="auto"/>
              </w:rPr>
            </w:pPr>
          </w:p>
        </w:tc>
        <w:tc>
          <w:tcPr>
            <w:tcW w:w="37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101 **</w:t>
            </w: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following financial information from the Company's Annual Report on Form 10-K for the fiscal year ended December 31,</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120" w:type="dxa"/>
            <w:vAlign w:val="bottom"/>
            <w:gridSpan w:val="8"/>
          </w:tcPr>
          <w:p>
            <w:pPr>
              <w:spacing w:after="0" w:line="191" w:lineRule="exact"/>
              <w:rPr>
                <w:sz w:val="20"/>
                <w:szCs w:val="20"/>
                <w:color w:val="auto"/>
              </w:rPr>
            </w:pPr>
            <w:r>
              <w:rPr>
                <w:rFonts w:ascii="Times New Roman" w:cs="Times New Roman" w:eastAsia="Times New Roman" w:hAnsi="Times New Roman"/>
                <w:sz w:val="18"/>
                <w:szCs w:val="18"/>
                <w:color w:val="auto"/>
              </w:rPr>
              <w:t>2024, formatted in Inline XBRL: (i) Cover Page; (ii) Consolidated Statement of Earnings; (iii) Consolidated Statement of</w:t>
            </w:r>
          </w:p>
        </w:tc>
        <w:tc>
          <w:tcPr>
            <w:tcW w:w="0" w:type="dxa"/>
            <w:vAlign w:val="bottom"/>
          </w:tcPr>
          <w:p>
            <w:pPr>
              <w:spacing w:after="0"/>
              <w:rPr>
                <w:sz w:val="1"/>
                <w:szCs w:val="1"/>
                <w:color w:val="auto"/>
              </w:rPr>
            </w:pPr>
          </w:p>
        </w:tc>
      </w:tr>
    </w:tbl>
    <w:p>
      <w:pPr>
        <w:ind w:left="1680"/>
        <w:spacing w:after="0" w:line="226" w:lineRule="auto"/>
        <w:rPr>
          <w:sz w:val="20"/>
          <w:szCs w:val="20"/>
          <w:color w:val="auto"/>
        </w:rPr>
      </w:pPr>
      <w:r>
        <w:rPr>
          <w:rFonts w:ascii="Times New Roman" w:cs="Times New Roman" w:eastAsia="Times New Roman" w:hAnsi="Times New Roman"/>
          <w:sz w:val="18"/>
          <w:szCs w:val="18"/>
          <w:color w:val="auto"/>
        </w:rPr>
        <w:t>Comprehensive Earnings; (iv) Consolidated Balance Sheets; (v) Consolidated Statements of Equity; (vi) Consolidated Statements of Cash Flows; and (vii) the Notes to Consolidated Financial Statements, tagged in summary and detail.</w:t>
      </w:r>
    </w:p>
    <w:p>
      <w:pPr>
        <w:spacing w:after="0" w:line="252" w:lineRule="exact"/>
        <w:rPr>
          <w:rFonts w:ascii="Times New Roman" w:cs="Times New Roman" w:eastAsia="Times New Roman" w:hAnsi="Times New Roman"/>
          <w:sz w:val="18"/>
          <w:szCs w:val="18"/>
          <w:u w:val="single" w:color="auto"/>
          <w:color w:val="0000FF"/>
        </w:rPr>
      </w:pPr>
    </w:p>
    <w:p>
      <w:pPr>
        <w:ind w:left="1680" w:right="200" w:hanging="993"/>
        <w:spacing w:after="0" w:line="250" w:lineRule="auto"/>
        <w:tabs>
          <w:tab w:leader="none" w:pos="166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8"/>
          <w:szCs w:val="18"/>
          <w:color w:val="auto"/>
        </w:rPr>
        <w:t>The Cover Page of the Company's Annual Report on Form 10-K for the fiscal year ended December 31, 2024, formatted in Inline XBRL (included with the Exhibit 101 attachments).</w:t>
      </w:r>
    </w:p>
    <w:p>
      <w:pPr>
        <w:spacing w:after="0" w:line="64"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80" w:hanging="272"/>
        <w:spacing w:after="0"/>
        <w:tabs>
          <w:tab w:leader="none" w:pos="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under 17 C.F.R. §§200.80(b)(4) and 230.406. The confidential portions of this exhibit have been omitted and are</w:t>
      </w:r>
    </w:p>
    <w:p>
      <w:pPr>
        <w:spacing w:after="0" w:line="27" w:lineRule="exact"/>
        <w:rPr>
          <w:rFonts w:ascii="Times New Roman" w:cs="Times New Roman" w:eastAsia="Times New Roman" w:hAnsi="Times New Roman"/>
          <w:sz w:val="18"/>
          <w:szCs w:val="18"/>
          <w:color w:val="auto"/>
        </w:rPr>
      </w:pPr>
    </w:p>
    <w:p>
      <w:pPr>
        <w:ind w:left="660" w:right="5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marked accordingly. The confidential portions have been filed separately with the Securities and Exchange Commission pursuant to the Confidential Treatment Request.</w:t>
      </w:r>
    </w:p>
    <w:p>
      <w:pPr>
        <w:spacing w:after="0" w:line="154" w:lineRule="exact"/>
        <w:rPr>
          <w:sz w:val="20"/>
          <w:szCs w:val="20"/>
          <w:color w:val="auto"/>
        </w:rPr>
      </w:pPr>
    </w:p>
    <w:p>
      <w:pPr>
        <w:ind w:left="660" w:right="60" w:hanging="652"/>
        <w:spacing w:after="0" w:line="282" w:lineRule="auto"/>
        <w:tabs>
          <w:tab w:leader="none" w:pos="41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that constitute confidential information have been omitted in accordance with Regulation S-K, Item 601(b)(10)(iv) because it (i) is not material and (ii) would be competitively harmful if publicly disclosed.</w:t>
      </w:r>
    </w:p>
    <w:p>
      <w:pPr>
        <w:spacing w:after="0" w:line="121" w:lineRule="exact"/>
        <w:rPr>
          <w:sz w:val="20"/>
          <w:szCs w:val="20"/>
          <w:color w:val="auto"/>
        </w:rPr>
      </w:pPr>
    </w:p>
    <w:p>
      <w:pPr>
        <w:ind w:left="660" w:hanging="652"/>
        <w:spacing w:after="0" w:line="282" w:lineRule="auto"/>
        <w:tabs>
          <w:tab w:leader="none" w:pos="32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Regulation S-K Item 601(a)(5) and will be furnished on a supplemental basis to the Securities and Exchange Commission upon request.</w:t>
      </w:r>
    </w:p>
    <w:p>
      <w:pPr>
        <w:spacing w:after="0" w:line="121" w:lineRule="exact"/>
        <w:rPr>
          <w:sz w:val="20"/>
          <w:szCs w:val="20"/>
          <w:color w:val="auto"/>
        </w:rPr>
      </w:pPr>
    </w:p>
    <w:p>
      <w:pPr>
        <w:ind w:right="1940" w:firstLine="8"/>
        <w:spacing w:after="0" w:line="461" w:lineRule="auto"/>
        <w:tabs>
          <w:tab w:leader="none" w:pos="28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 in which directors or officers participate. * Previously filed.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83" w:lineRule="exact"/>
        <w:rPr>
          <w:sz w:val="20"/>
          <w:szCs w:val="20"/>
          <w:color w:val="auto"/>
        </w:rPr>
      </w:pPr>
    </w:p>
    <w:tbl>
      <w:tblPr>
        <w:tblLayout w:type="fixed"/>
        <w:tblInd w:w="61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JACK A. KHATTAR</w:t>
            </w:r>
          </w:p>
        </w:tc>
      </w:tr>
      <w:tr>
        <w:trPr>
          <w:trHeight w:val="216"/>
        </w:trPr>
        <w:tc>
          <w:tcPr>
            <w:tcW w:w="58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Jack A. Khattar</w:t>
            </w:r>
          </w:p>
        </w:tc>
      </w:tr>
      <w:tr>
        <w:trPr>
          <w:trHeight w:val="236"/>
        </w:trPr>
        <w:tc>
          <w:tcPr>
            <w:tcW w:w="5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19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the dates indicated below:</w:t>
      </w:r>
    </w:p>
    <w:tbl>
      <w:tblPr>
        <w:tblLayout w:type="fixed"/>
        <w:tblInd w:w="0" w:type="dxa"/>
        <w:tblCellMar>
          <w:top w:w="0" w:type="dxa"/>
          <w:left w:w="0" w:type="dxa"/>
          <w:bottom w:w="0" w:type="dxa"/>
          <w:right w:w="0" w:type="dxa"/>
        </w:tblCellMar>
      </w:tblPr>
      <w:tr>
        <w:trPr>
          <w:trHeight w:val="160"/>
        </w:trPr>
        <w:tc>
          <w:tcPr>
            <w:tcW w:w="18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780" w:type="dxa"/>
            <w:vAlign w:val="bottom"/>
          </w:tcPr>
          <w:p>
            <w:pPr>
              <w:spacing w:after="0"/>
              <w:rPr>
                <w:sz w:val="13"/>
                <w:szCs w:val="13"/>
                <w:color w:val="auto"/>
              </w:rPr>
            </w:pPr>
          </w:p>
        </w:tc>
        <w:tc>
          <w:tcPr>
            <w:tcW w:w="8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 and Director (Principal</w:t>
            </w:r>
          </w:p>
        </w:tc>
        <w:tc>
          <w:tcPr>
            <w:tcW w:w="1580" w:type="dxa"/>
            <w:vAlign w:val="bottom"/>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148"/>
        </w:trPr>
        <w:tc>
          <w:tcPr>
            <w:tcW w:w="4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JACK A. KHATTAR</w:t>
            </w:r>
          </w:p>
        </w:tc>
        <w:tc>
          <w:tcPr>
            <w:tcW w:w="49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360" w:type="dxa"/>
            <w:vAlign w:val="bottom"/>
            <w:tcBorders>
              <w:bottom w:val="single" w:sz="8" w:color="auto"/>
            </w:tcBorders>
            <w:gridSpan w:val="3"/>
            <w:vMerge w:val="continue"/>
          </w:tcPr>
          <w:p>
            <w:pPr>
              <w:spacing w:after="0"/>
              <w:rPr>
                <w:sz w:val="8"/>
                <w:szCs w:val="8"/>
                <w:color w:val="auto"/>
              </w:rPr>
            </w:pPr>
          </w:p>
        </w:tc>
        <w:tc>
          <w:tcPr>
            <w:tcW w:w="49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Vice-President and Chief Financial Officer (Principal</w:t>
            </w:r>
          </w:p>
        </w:tc>
        <w:tc>
          <w:tcPr>
            <w:tcW w:w="1580" w:type="dxa"/>
            <w:vAlign w:val="bottom"/>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148"/>
        </w:trPr>
        <w:tc>
          <w:tcPr>
            <w:tcW w:w="4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TIMOTHY C. DEC</w:t>
            </w:r>
          </w:p>
        </w:tc>
        <w:tc>
          <w:tcPr>
            <w:tcW w:w="49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4360" w:type="dxa"/>
            <w:vAlign w:val="bottom"/>
            <w:tcBorders>
              <w:bottom w:val="single" w:sz="8" w:color="auto"/>
            </w:tcBorders>
            <w:gridSpan w:val="3"/>
            <w:vMerge w:val="continue"/>
          </w:tcPr>
          <w:p>
            <w:pPr>
              <w:spacing w:after="0"/>
              <w:rPr>
                <w:sz w:val="8"/>
                <w:szCs w:val="8"/>
                <w:color w:val="auto"/>
              </w:rPr>
            </w:pPr>
          </w:p>
        </w:tc>
        <w:tc>
          <w:tcPr>
            <w:tcW w:w="49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CHARLES W. NEWHALL, III.</w:t>
            </w:r>
          </w:p>
        </w:tc>
        <w:tc>
          <w:tcPr>
            <w:tcW w:w="4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5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479"/>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CARROLEE BARLOW, M.D., PH.D.</w:t>
            </w:r>
          </w:p>
        </w:tc>
        <w:tc>
          <w:tcPr>
            <w:tcW w:w="4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GEORGES GEMAYEL, PH.D.</w:t>
            </w:r>
          </w:p>
        </w:tc>
        <w:tc>
          <w:tcPr>
            <w:tcW w:w="4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FREDERICK M. HUDSON</w:t>
            </w:r>
          </w:p>
        </w:tc>
        <w:tc>
          <w:tcPr>
            <w:tcW w:w="4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BETHANY SENSENIG</w:t>
            </w:r>
          </w:p>
        </w:tc>
        <w:tc>
          <w:tcPr>
            <w:tcW w:w="4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SUPERNUS PHARMACEUTICALS, INC.</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Policy Statement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u w:val="single" w:color="auto"/>
          <w:color w:val="auto"/>
        </w:rPr>
        <w:t>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Trades by Directors,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-29210</wp:posOffset>
            </wp:positionV>
            <wp:extent cx="32289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5">
                      <a:extLst>
                        <a:ext uri="{28A0092B-C50C-407E-A947-70E740481C1C}"/>
                      </a:extLst>
                    </a:blip>
                    <a:srcRect/>
                    <a:stretch>
                      <a:fillRect/>
                    </a:stretch>
                  </pic:blipFill>
                  <pic:spPr bwMode="auto">
                    <a:xfrm>
                      <a:off x="0" y="0"/>
                      <a:ext cx="3228975" cy="82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LAW AND COMPANY POLICY ON SECURITIES TRADING</w:t>
      </w:r>
    </w:p>
    <w:p>
      <w:pPr>
        <w:spacing w:after="0" w:line="179"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22"/>
          <w:szCs w:val="22"/>
          <w:b w:val="1"/>
          <w:bCs w:val="1"/>
          <w:color w:val="auto"/>
        </w:rPr>
        <w:t>It is against the law and the policy of Supernus Pharmaceuticals, Inc. (the “Company”) for any employee, officer, or director of the Company or any consultant to the Company to buy or sell common stock or other securities of the Company while aware of material nonpublic information relating to the Company. It is also generally illegal and a violation of Company policy to communicate such “material nonpublic information” to someone else who then acts on it by buying or selling the Company’s securities.</w:t>
      </w:r>
    </w:p>
    <w:p>
      <w:pPr>
        <w:spacing w:after="0" w:line="151" w:lineRule="exact"/>
        <w:rPr>
          <w:sz w:val="20"/>
          <w:szCs w:val="20"/>
          <w:color w:val="auto"/>
        </w:rPr>
      </w:pPr>
    </w:p>
    <w:p>
      <w:pPr>
        <w:ind w:right="440"/>
        <w:spacing w:after="0" w:line="225" w:lineRule="auto"/>
        <w:rPr>
          <w:sz w:val="20"/>
          <w:szCs w:val="20"/>
          <w:color w:val="auto"/>
        </w:rPr>
      </w:pPr>
      <w:r>
        <w:rPr>
          <w:rFonts w:ascii="Times New Roman" w:cs="Times New Roman" w:eastAsia="Times New Roman" w:hAnsi="Times New Roman"/>
          <w:sz w:val="22"/>
          <w:szCs w:val="22"/>
          <w:color w:val="auto"/>
        </w:rPr>
        <w:t>This Policy Statement (the “Policy”) also applies to material nonpublic information about any other company with which the Company is negotiating or does business. You may not trade in the securities of any company while you are aware of such information, nor may you communicate such information to others.</w:t>
      </w:r>
    </w:p>
    <w:p>
      <w:pPr>
        <w:spacing w:after="0" w:line="153" w:lineRule="exact"/>
        <w:rPr>
          <w:sz w:val="20"/>
          <w:szCs w:val="20"/>
          <w:color w:val="auto"/>
        </w:rPr>
      </w:pPr>
    </w:p>
    <w:p>
      <w:pPr>
        <w:jc w:val="both"/>
        <w:ind w:right="280"/>
        <w:spacing w:after="0" w:line="225" w:lineRule="auto"/>
        <w:rPr>
          <w:sz w:val="20"/>
          <w:szCs w:val="20"/>
          <w:color w:val="auto"/>
        </w:rPr>
      </w:pPr>
      <w:r>
        <w:rPr>
          <w:rFonts w:ascii="Times New Roman" w:cs="Times New Roman" w:eastAsia="Times New Roman" w:hAnsi="Times New Roman"/>
          <w:sz w:val="22"/>
          <w:szCs w:val="22"/>
          <w:color w:val="auto"/>
        </w:rPr>
        <w:t>Furthermore, the same restrictions apply to family members and others living in your household who gain access to or become aware of material nonpublic information about the Company or any other company with which the Company is negotiating or doing business. You are responsible for their compliance with this Policy.</w:t>
      </w:r>
    </w:p>
    <w:p>
      <w:pPr>
        <w:spacing w:after="0" w:line="153"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22"/>
          <w:szCs w:val="22"/>
          <w:color w:val="auto"/>
        </w:rPr>
        <w:t>We have adopted this Policy in response to the law, including, without limitation Rule 10b5-1 promulgated under the Securities Exchange Act of 1934 (“the Exchange Act”) and to avoid even the appearance of improper securities-related conduct by anyone associated with the Company. We have all worked hard to establish the Company’s reputation for integrity and ethical conduct and cannot afford to have it damaged.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Policy is effective as of February 27, 2023 (the “Effective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CONSEQUENCES OF VIOLATING THIS POLICY</w:t>
      </w:r>
    </w:p>
    <w:p>
      <w:pPr>
        <w:spacing w:after="0" w:line="179" w:lineRule="exact"/>
        <w:rPr>
          <w:sz w:val="20"/>
          <w:szCs w:val="20"/>
          <w:color w:val="auto"/>
        </w:rPr>
      </w:pPr>
    </w:p>
    <w:p>
      <w:pPr>
        <w:jc w:val="both"/>
        <w:ind w:right="460"/>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The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law imposes heavy penalties on those who in violation of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 or sell securities while aware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material nonpublic information </w:t>
      </w:r>
      <w:r>
        <w:rPr>
          <w:rFonts w:ascii="Times New Roman" w:cs="Times New Roman" w:eastAsia="Times New Roman" w:hAnsi="Times New Roman"/>
          <w:sz w:val="22"/>
          <w:szCs w:val="22"/>
          <w:u w:val="single" w:color="auto"/>
          <w:color w:val="auto"/>
        </w:rPr>
        <w:t>or</w:t>
      </w:r>
      <w:r>
        <w:rPr>
          <w:rFonts w:ascii="Times New Roman" w:cs="Times New Roman" w:eastAsia="Times New Roman" w:hAnsi="Times New Roman"/>
          <w:sz w:val="22"/>
          <w:szCs w:val="22"/>
          <w:color w:val="auto"/>
        </w:rPr>
        <w:t xml:space="preserve"> pass the material nonpublic information along to others who use it to buy or sell securities (known as “tipping”).</w:t>
      </w:r>
    </w:p>
    <w:p>
      <w:pPr>
        <w:spacing w:after="0" w:line="146"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Civil and Criminal Penalties. </w:t>
      </w:r>
      <w:r>
        <w:rPr>
          <w:rFonts w:ascii="Times New Roman" w:cs="Times New Roman" w:eastAsia="Times New Roman" w:hAnsi="Times New Roman"/>
          <w:sz w:val="22"/>
          <w:szCs w:val="22"/>
          <w:color w:val="auto"/>
        </w:rPr>
        <w:t>Potential penalties for insider trading violations include (1) imprisonment for up to 20 years, (2)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criminal fines of up to $5 million, and (3) civil fines of up to three times the profit gained or loss avoided.</w:t>
      </w:r>
    </w:p>
    <w:p>
      <w:pPr>
        <w:spacing w:after="0" w:line="146"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Controlling Person Liability. </w:t>
      </w:r>
      <w:r>
        <w:rPr>
          <w:rFonts w:ascii="Times New Roman" w:cs="Times New Roman" w:eastAsia="Times New Roman" w:hAnsi="Times New Roman"/>
          <w:sz w:val="22"/>
          <w:szCs w:val="22"/>
          <w:color w:val="auto"/>
        </w:rPr>
        <w:t>If the Company fails to take appropriate steps to prevent illegal insider trading, the Company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“controlling person” liability for a trading violation, with civil penalties of up to the greater of $1 million or three times the profit gained or loss avoided, as well as a criminal penalty of up to $25 million. The civil penalties can extend personal liability to the Company’s directors, officers, and other supervisory personnel if they fail to take appropriate steps to prevent insider trading.</w:t>
      </w:r>
    </w:p>
    <w:p>
      <w:pPr>
        <w:sectPr>
          <w:pgSz w:w="11900" w:h="16838" w:orient="portrait"/>
          <w:cols w:equalWidth="0" w:num="1">
            <w:col w:w="11240"/>
          </w:cols>
          <w:pgMar w:left="320" w:top="337" w:right="339" w:bottom="1440" w:gutter="0" w:footer="0" w:header="0"/>
        </w:sectPr>
      </w:pPr>
    </w:p>
    <w:bookmarkStart w:id="143" w:name="page144"/>
    <w:bookmarkEnd w:id="143"/>
    <w:p>
      <w:pPr>
        <w:ind w:right="180"/>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Company Sanctions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view of the seriousness of this matter, the Company will discipline any person who violates this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any appropriate means, including dismissal for cause.</w:t>
      </w:r>
    </w:p>
    <w:p>
      <w:pPr>
        <w:spacing w:after="0" w:line="150" w:lineRule="exact"/>
        <w:rPr>
          <w:sz w:val="20"/>
          <w:szCs w:val="20"/>
          <w:color w:val="auto"/>
        </w:rPr>
      </w:pPr>
    </w:p>
    <w:p>
      <w:pPr>
        <w:ind w:right="800"/>
        <w:spacing w:after="0" w:line="236" w:lineRule="auto"/>
        <w:rPr>
          <w:sz w:val="20"/>
          <w:szCs w:val="20"/>
          <w:color w:val="auto"/>
        </w:rPr>
      </w:pPr>
      <w:r>
        <w:rPr>
          <w:rFonts w:ascii="Times New Roman" w:cs="Times New Roman" w:eastAsia="Times New Roman" w:hAnsi="Times New Roman"/>
          <w:sz w:val="22"/>
          <w:szCs w:val="22"/>
          <w:color w:val="auto"/>
        </w:rPr>
        <w:t>Any of these consequences, and even an investigation that does not result in prosecution, can tarnish your reputation and irreparably damage you and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IS MATERIAL, NONPUBLIC INFORMATION?</w:t>
      </w:r>
    </w:p>
    <w:p>
      <w:pPr>
        <w:spacing w:after="0" w:line="206" w:lineRule="exact"/>
        <w:rPr>
          <w:sz w:val="20"/>
          <w:szCs w:val="20"/>
          <w:color w:val="auto"/>
        </w:rPr>
      </w:pPr>
    </w:p>
    <w:p>
      <w:pPr>
        <w:ind w:right="400"/>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is “material” if a reasonable investor would consider it significant in a decision to buy, hold, or sell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securities. Put another way, information that could reasonably be expected to affect the price of a security, </w:t>
      </w:r>
      <w:r>
        <w:rPr>
          <w:rFonts w:ascii="Times New Roman" w:cs="Times New Roman" w:eastAsia="Times New Roman" w:hAnsi="Times New Roman"/>
          <w:sz w:val="22"/>
          <w:szCs w:val="22"/>
          <w:u w:val="single" w:color="auto"/>
          <w:color w:val="auto"/>
        </w:rPr>
        <w:t>either positively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negatively</w:t>
      </w:r>
      <w:r>
        <w:rPr>
          <w:rFonts w:ascii="Times New Roman" w:cs="Times New Roman" w:eastAsia="Times New Roman" w:hAnsi="Times New Roman"/>
          <w:sz w:val="22"/>
          <w:szCs w:val="22"/>
          <w:color w:val="auto"/>
        </w:rPr>
        <w:t>, is material.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examples of information that will frequently be regarded as material are information relating to:</w:t>
      </w:r>
    </w:p>
    <w:p>
      <w:pPr>
        <w:spacing w:after="0" w:line="179"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losses that are significantly higher or lower than generally expected by the investment community;</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or sale of part of the Company’s business;</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securities offerings by the Company;</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clinical trial results;</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products or discoveries;</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negotiations regarding an important license, distribution agreement, or joint venture;</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FDA or other regulatory action;</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proposed stock split or stock dividend;</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financial problems;</w:t>
      </w:r>
    </w:p>
    <w:p>
      <w:pPr>
        <w:spacing w:after="0" w:line="179" w:lineRule="exact"/>
        <w:rPr>
          <w:rFonts w:ascii="Times New Roman" w:cs="Times New Roman" w:eastAsia="Times New Roman" w:hAnsi="Times New Roman"/>
          <w:sz w:val="22"/>
          <w:szCs w:val="22"/>
          <w:color w:val="auto"/>
        </w:rPr>
      </w:pPr>
    </w:p>
    <w:p>
      <w:pPr>
        <w:ind w:right="1860" w:firstLine="8"/>
        <w:spacing w:after="0" w:line="407" w:lineRule="auto"/>
        <w:tabs>
          <w:tab w:leader="none" w:pos="31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the status of any of the Company’s activities which may have an adverse or favorable impact. Other types of information may also be material; no complete list can be given.</w:t>
      </w:r>
    </w:p>
    <w:p>
      <w:pPr>
        <w:spacing w:after="0" w:line="2" w:lineRule="exact"/>
        <w:rPr>
          <w:sz w:val="20"/>
          <w:szCs w:val="20"/>
          <w:color w:val="auto"/>
        </w:rPr>
      </w:pPr>
    </w:p>
    <w:p>
      <w:pPr>
        <w:ind w:right="380"/>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Nonpublic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is “nonpublic” or “inside information” until it has been made available to investors generally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has had time to digest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TIMING OF TRANSACTIONS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General Rule</w:t>
      </w:r>
    </w:p>
    <w:p>
      <w:pPr>
        <w:spacing w:after="0" w:line="170"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As a general rule, if you know of material nonpublic information about the Company, you may not engage in any transactions involving Company securities. Additionally, you may not engage in any stock transactions involving Company securities during a “blackout period.” The quarterly</w:t>
      </w:r>
    </w:p>
    <w:p>
      <w:pPr>
        <w:sectPr>
          <w:pgSz w:w="11900" w:h="16838" w:orient="portrait"/>
          <w:cols w:equalWidth="0" w:num="1">
            <w:col w:w="11240"/>
          </w:cols>
          <w:pgMar w:left="320" w:top="1363" w:right="339" w:bottom="1440" w:gutter="0" w:footer="0" w:header="0"/>
        </w:sectPr>
      </w:pPr>
    </w:p>
    <w:bookmarkStart w:id="144" w:name="page145"/>
    <w:bookmarkEnd w:id="144"/>
    <w:p>
      <w:pPr>
        <w:ind w:right="120"/>
        <w:spacing w:after="0" w:line="231" w:lineRule="auto"/>
        <w:rPr>
          <w:sz w:val="20"/>
          <w:szCs w:val="20"/>
          <w:color w:val="auto"/>
        </w:rPr>
      </w:pPr>
      <w:r>
        <w:rPr>
          <w:rFonts w:ascii="Times New Roman" w:cs="Times New Roman" w:eastAsia="Times New Roman" w:hAnsi="Times New Roman"/>
          <w:sz w:val="21"/>
          <w:szCs w:val="21"/>
          <w:color w:val="auto"/>
        </w:rPr>
        <w:t>“blackout period” begins fifteen (15) calendar days prior to the end of a quarter and ends at the close of business on the second business day after the Company files its annual or quarterly report on Form 10-K or 10-Q, as applicable, with the SEC. This will typically occur during March, May, August and November of each year. From time to time the Company may impose an ad hoc “blackout period” and will announce in writing to all employees and directors when such period begins and ends.</w:t>
      </w:r>
    </w:p>
    <w:p>
      <w:pPr>
        <w:spacing w:after="0" w:line="137" w:lineRule="exact"/>
        <w:rPr>
          <w:sz w:val="20"/>
          <w:szCs w:val="20"/>
          <w:color w:val="auto"/>
        </w:rPr>
      </w:pPr>
    </w:p>
    <w:p>
      <w:pPr>
        <w:ind w:right="1040"/>
        <w:spacing w:after="0" w:line="390" w:lineRule="auto"/>
        <w:rPr>
          <w:sz w:val="20"/>
          <w:szCs w:val="20"/>
          <w:color w:val="auto"/>
        </w:rPr>
      </w:pPr>
      <w:r>
        <w:rPr>
          <w:rFonts w:ascii="Times New Roman" w:cs="Times New Roman" w:eastAsia="Times New Roman" w:hAnsi="Times New Roman"/>
          <w:sz w:val="22"/>
          <w:szCs w:val="22"/>
          <w:color w:val="auto"/>
        </w:rPr>
        <w:t xml:space="preserve">This general rule applies to every employee, officer, and director of the Company and any consultant to the Company. </w:t>
      </w:r>
      <w:r>
        <w:rPr>
          <w:rFonts w:ascii="Times New Roman" w:cs="Times New Roman" w:eastAsia="Times New Roman" w:hAnsi="Times New Roman"/>
          <w:sz w:val="22"/>
          <w:szCs w:val="22"/>
          <w:i w:val="1"/>
          <w:iCs w:val="1"/>
          <w:color w:val="auto"/>
        </w:rPr>
        <w:t>Rule 10b5-1 Trading Plans</w:t>
      </w:r>
    </w:p>
    <w:p>
      <w:pPr>
        <w:spacing w:after="0" w:line="1"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22"/>
          <w:szCs w:val="22"/>
          <w:color w:val="auto"/>
        </w:rPr>
        <w:t>Notwithstanding the general rule, while knowing material public information about the Company or during a “blackout period”, transactions involving Company securities may be effected pursuant to a properly established trading plan that complies with Rule 10b5-1 of the Exchange Act (a “10b5-1 plan”).</w:t>
      </w:r>
    </w:p>
    <w:p>
      <w:pPr>
        <w:spacing w:after="0" w:line="139" w:lineRule="exact"/>
        <w:rPr>
          <w:sz w:val="20"/>
          <w:szCs w:val="20"/>
          <w:color w:val="auto"/>
        </w:rPr>
      </w:pPr>
    </w:p>
    <w:p>
      <w:pPr>
        <w:ind w:right="920"/>
        <w:spacing w:after="0" w:line="236" w:lineRule="auto"/>
        <w:rPr>
          <w:sz w:val="20"/>
          <w:szCs w:val="20"/>
          <w:color w:val="auto"/>
        </w:rPr>
      </w:pPr>
      <w:r>
        <w:rPr>
          <w:rFonts w:ascii="Times New Roman" w:cs="Times New Roman" w:eastAsia="Times New Roman" w:hAnsi="Times New Roman"/>
          <w:sz w:val="22"/>
          <w:szCs w:val="22"/>
          <w:color w:val="auto"/>
        </w:rPr>
        <w:t>To be properly established, a 10b5-l plan must be established at a time when you were not aware of material, nonpublic information about the Company and outside of a “blackout period”.</w:t>
      </w:r>
    </w:p>
    <w:p>
      <w:pPr>
        <w:spacing w:after="0" w:line="123" w:lineRule="exact"/>
        <w:rPr>
          <w:sz w:val="20"/>
          <w:szCs w:val="20"/>
          <w:color w:val="auto"/>
        </w:rPr>
      </w:pPr>
    </w:p>
    <w:p>
      <w:pPr>
        <w:ind w:right="500"/>
        <w:spacing w:after="0" w:line="220" w:lineRule="auto"/>
        <w:rPr>
          <w:sz w:val="20"/>
          <w:szCs w:val="20"/>
          <w:color w:val="auto"/>
        </w:rPr>
      </w:pPr>
      <w:r>
        <w:rPr>
          <w:rFonts w:ascii="Times New Roman" w:cs="Times New Roman" w:eastAsia="Times New Roman" w:hAnsi="Times New Roman"/>
          <w:sz w:val="22"/>
          <w:szCs w:val="22"/>
          <w:color w:val="auto"/>
        </w:rPr>
        <w:t>Any proposed 10b5-1 plan shall be reviewed by the Company’s Chief Financial Officer, or the Chief Financial Officer’s designee, and must be approved in writing by such reviewer prior to your entry into such plan. If the Chief Financial Officer desires to establish a 10b5-1 plan, such plan shall be reviewed by the Chief Executive Officer of the Company and must be approved by the Chief Executive Officer prior to the Chief Financial Officer’s entry into such plan.</w:t>
      </w:r>
    </w:p>
    <w:p>
      <w:pPr>
        <w:spacing w:after="0" w:line="13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For a 10b5-1 plan to be approved under this Policy, such plan must satisfy all of the applicable requirements of Rule 10b5-1, as in effect from and after the Effective Date. Among these requirements are the following:</w:t>
      </w:r>
    </w:p>
    <w:p>
      <w:pPr>
        <w:spacing w:after="0" w:line="137" w:lineRule="exact"/>
        <w:rPr>
          <w:sz w:val="20"/>
          <w:szCs w:val="20"/>
          <w:color w:val="auto"/>
        </w:rPr>
      </w:pPr>
    </w:p>
    <w:p>
      <w:pPr>
        <w:ind w:left="380" w:right="60" w:hanging="318"/>
        <w:spacing w:after="0" w:line="225" w:lineRule="auto"/>
        <w:tabs>
          <w:tab w:leader="none" w:pos="37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only have one active 10b5-1 trading plan involving the Company’s securities (exceptions apply for separate contracts with different broker-dealers or other agents, certain later-commencing plans and certain sell-to-cover only plans to pay for tax withholding, if certain requirements are met);</w:t>
      </w:r>
    </w:p>
    <w:p>
      <w:pPr>
        <w:spacing w:after="0" w:line="125" w:lineRule="exact"/>
        <w:rPr>
          <w:rFonts w:ascii="Times New Roman" w:cs="Times New Roman" w:eastAsia="Times New Roman" w:hAnsi="Times New Roman"/>
          <w:sz w:val="22"/>
          <w:szCs w:val="22"/>
          <w:color w:val="auto"/>
        </w:rPr>
      </w:pPr>
    </w:p>
    <w:p>
      <w:pPr>
        <w:ind w:left="380" w:right="160" w:hanging="318"/>
        <w:spacing w:after="0" w:line="236" w:lineRule="auto"/>
        <w:tabs>
          <w:tab w:leader="none" w:pos="37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plan is not a sell-to-cover only plan, and the purchase or sale of Company securities is to occur as a single transaction, you may not have had, during the prior 12-month period, another 10b5-1 single-trade plan in effect;</w:t>
      </w:r>
    </w:p>
    <w:p>
      <w:pPr>
        <w:spacing w:after="0" w:line="136" w:lineRule="exact"/>
        <w:rPr>
          <w:rFonts w:ascii="Times New Roman" w:cs="Times New Roman" w:eastAsia="Times New Roman" w:hAnsi="Times New Roman"/>
          <w:sz w:val="22"/>
          <w:szCs w:val="22"/>
          <w:color w:val="auto"/>
        </w:rPr>
      </w:pPr>
    </w:p>
    <w:p>
      <w:pPr>
        <w:ind w:left="380" w:hanging="318"/>
        <w:spacing w:after="0" w:line="211" w:lineRule="auto"/>
        <w:tabs>
          <w:tab w:leader="none" w:pos="37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must be a cooling off period between the establishment of a 10b5-1 plan and the first transaction scheduled to occur pursuant to such plan, as follows: (i) if you are a director or a Rule 16a-1(f) officer (generally, Chief Executive Officer, Chief Financial Officer, principal financial officer, principal accounting officer/ controller, any vice-president of the issuer in charge of a principal business unit, division or function, or any other officer who performs a policy making function), the cooling off period may not end until the later of (i) 90 calendar days from the establishment of the plan or (ii) two business days following the disclosure of the Company’s financial results in SEC Form 10-Q or 10-K for the fiscal quarter in which the plan was adopted,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cooling off period may end 120 calendar days from the establishment of the plan. If you are neither a director nor a Rule 16a-1(f) officer, the cooling off period may not end until 30 calendar days following the establishment of the plan;</w:t>
      </w:r>
    </w:p>
    <w:p>
      <w:pPr>
        <w:spacing w:after="0" w:line="144" w:lineRule="exact"/>
        <w:rPr>
          <w:rFonts w:ascii="Times New Roman" w:cs="Times New Roman" w:eastAsia="Times New Roman" w:hAnsi="Times New Roman"/>
          <w:sz w:val="22"/>
          <w:szCs w:val="22"/>
          <w:color w:val="auto"/>
        </w:rPr>
      </w:pPr>
    </w:p>
    <w:p>
      <w:pPr>
        <w:ind w:left="380" w:right="20" w:hanging="318"/>
        <w:spacing w:after="0" w:line="225" w:lineRule="auto"/>
        <w:tabs>
          <w:tab w:leader="none" w:pos="37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 director or Rule 16a-1(f) officer, you must make certain representations to the Company, including, without limitation, that you are adopting the 10b5-1 plan in good faith and not as a part of a plan or scheme to evade the requirements of Rule 10b5-1;</w:t>
      </w:r>
    </w:p>
    <w:p>
      <w:pPr>
        <w:sectPr>
          <w:pgSz w:w="11900" w:h="16838" w:orient="portrait"/>
          <w:cols w:equalWidth="0" w:num="1">
            <w:col w:w="11240"/>
          </w:cols>
          <w:pgMar w:left="320" w:top="1367" w:right="339" w:bottom="1440" w:gutter="0" w:footer="0" w:header="0"/>
        </w:sectPr>
      </w:pPr>
    </w:p>
    <w:bookmarkStart w:id="145" w:name="page146"/>
    <w:bookmarkEnd w:id="145"/>
    <w:p>
      <w:pPr>
        <w:ind w:left="380" w:right="360" w:hanging="318"/>
        <w:spacing w:after="0" w:line="236" w:lineRule="auto"/>
        <w:tabs>
          <w:tab w:leader="none" w:pos="37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or change to the amount, price or timing of the purchase or sale of Company securities under the plan is deemed a termination of the plan and the adoption of a new plan; and</w:t>
      </w:r>
    </w:p>
    <w:p>
      <w:pPr>
        <w:spacing w:after="0" w:line="136" w:lineRule="exact"/>
        <w:rPr>
          <w:rFonts w:ascii="Times New Roman" w:cs="Times New Roman" w:eastAsia="Times New Roman" w:hAnsi="Times New Roman"/>
          <w:sz w:val="22"/>
          <w:szCs w:val="22"/>
          <w:color w:val="auto"/>
        </w:rPr>
      </w:pPr>
    </w:p>
    <w:p>
      <w:pPr>
        <w:ind w:left="380" w:hanging="318"/>
        <w:spacing w:after="0"/>
        <w:tabs>
          <w:tab w:leader="none" w:pos="3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10b5-1 plan must be entered into with a securities broker(s) designated by the Company.</w:t>
      </w:r>
    </w:p>
    <w:p>
      <w:pPr>
        <w:spacing w:after="0" w:line="152" w:lineRule="exact"/>
        <w:rPr>
          <w:sz w:val="20"/>
          <w:szCs w:val="20"/>
          <w:color w:val="auto"/>
        </w:rPr>
      </w:pPr>
    </w:p>
    <w:p>
      <w:pPr>
        <w:jc w:val="both"/>
        <w:ind w:right="500"/>
        <w:spacing w:after="0" w:line="225" w:lineRule="auto"/>
        <w:rPr>
          <w:sz w:val="20"/>
          <w:szCs w:val="20"/>
          <w:color w:val="auto"/>
        </w:rPr>
      </w:pPr>
      <w:r>
        <w:rPr>
          <w:rFonts w:ascii="Times New Roman" w:cs="Times New Roman" w:eastAsia="Times New Roman" w:hAnsi="Times New Roman"/>
          <w:sz w:val="22"/>
          <w:szCs w:val="22"/>
          <w:color w:val="auto"/>
        </w:rPr>
        <w:t>Modifications or amendments to an established 10b5-1 plan must be approved in writing in advance by the Chief Financial Officer or his or her designee (or the Chief Executive Officer in the case of a 10b5-1 plan established by the Chief Financial Officer).</w:t>
      </w:r>
    </w:p>
    <w:p>
      <w:pPr>
        <w:spacing w:after="0" w:line="135" w:lineRule="exact"/>
        <w:rPr>
          <w:sz w:val="20"/>
          <w:szCs w:val="20"/>
          <w:color w:val="auto"/>
        </w:rPr>
      </w:pPr>
    </w:p>
    <w:p>
      <w:pPr>
        <w:ind w:right="1060"/>
        <w:spacing w:after="0" w:line="238" w:lineRule="auto"/>
        <w:rPr>
          <w:sz w:val="20"/>
          <w:szCs w:val="20"/>
          <w:color w:val="auto"/>
        </w:rPr>
      </w:pPr>
      <w:r>
        <w:rPr>
          <w:rFonts w:ascii="Times New Roman" w:cs="Times New Roman" w:eastAsia="Times New Roman" w:hAnsi="Times New Roman"/>
          <w:sz w:val="22"/>
          <w:szCs w:val="22"/>
          <w:color w:val="auto"/>
        </w:rPr>
        <w:t xml:space="preserve">The written approval required shall be requested and given using the form attached hereto as </w:t>
      </w:r>
      <w:r>
        <w:rPr>
          <w:rFonts w:ascii="Times New Roman" w:cs="Times New Roman" w:eastAsia="Times New Roman" w:hAnsi="Times New Roman"/>
          <w:sz w:val="22"/>
          <w:szCs w:val="22"/>
          <w:b w:val="1"/>
          <w:bCs w:val="1"/>
          <w:color w:val="auto"/>
        </w:rPr>
        <w:t>Exhibit A – Notice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Certification Form</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Other than the limited exception for 10b5-1 plans described above, there are no exceptions to this policy for transactions that may be necessary or justifiable for independent reasons (such as the need to raise money for an emergency expenditure).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Directors and Executive Officers of the Company are subject to special restrictions.</w:t>
      </w:r>
    </w:p>
    <w:p>
      <w:pPr>
        <w:spacing w:after="0" w:line="170"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22"/>
          <w:szCs w:val="22"/>
          <w:color w:val="auto"/>
        </w:rPr>
        <w:t xml:space="preserve">Each director and executive officer must contact the Chief Financial Officer, or the Chief Financial Officer’s designee, for approval </w:t>
      </w:r>
      <w:r>
        <w:rPr>
          <w:rFonts w:ascii="Times New Roman" w:cs="Times New Roman" w:eastAsia="Times New Roman" w:hAnsi="Times New Roman"/>
          <w:sz w:val="22"/>
          <w:szCs w:val="22"/>
          <w:b w:val="1"/>
          <w:bCs w:val="1"/>
          <w:color w:val="auto"/>
        </w:rPr>
        <w:t>prior</w:t>
      </w:r>
      <w:r>
        <w:rPr>
          <w:rFonts w:ascii="Times New Roman" w:cs="Times New Roman" w:eastAsia="Times New Roman" w:hAnsi="Times New Roman"/>
          <w:sz w:val="22"/>
          <w:szCs w:val="22"/>
          <w:color w:val="auto"/>
        </w:rPr>
        <w:t xml:space="preserve"> to making </w:t>
      </w:r>
      <w:r>
        <w:rPr>
          <w:rFonts w:ascii="Times New Roman" w:cs="Times New Roman" w:eastAsia="Times New Roman" w:hAnsi="Times New Roman"/>
          <w:sz w:val="22"/>
          <w:szCs w:val="22"/>
          <w:b w:val="1"/>
          <w:bCs w:val="1"/>
          <w:u w:val="single" w:color="auto"/>
          <w:color w:val="auto"/>
        </w:rPr>
        <w:t>any</w:t>
      </w:r>
      <w:r>
        <w:rPr>
          <w:rFonts w:ascii="Times New Roman" w:cs="Times New Roman" w:eastAsia="Times New Roman" w:hAnsi="Times New Roman"/>
          <w:sz w:val="22"/>
          <w:szCs w:val="22"/>
          <w:color w:val="auto"/>
        </w:rPr>
        <w:t xml:space="preserve"> transaction (purchase or sale) or transfer (including a gift) involving the Company’s securities other than transactions to be effected pursuant to a properly established 10b5-1 plan. Such approval must be sought at least two business days prior to making such transaction. If the Chief Financial Officer desires to complete any trades involving Company securities, he or she must first obtain the written approval of the Chief Executive Officer of the Company.</w:t>
      </w:r>
    </w:p>
    <w:p>
      <w:pPr>
        <w:spacing w:after="0" w:line="135" w:lineRule="exact"/>
        <w:rPr>
          <w:sz w:val="20"/>
          <w:szCs w:val="20"/>
          <w:color w:val="auto"/>
        </w:rPr>
      </w:pPr>
    </w:p>
    <w:p>
      <w:pPr>
        <w:ind w:right="460"/>
        <w:spacing w:after="0" w:line="227" w:lineRule="auto"/>
        <w:rPr>
          <w:sz w:val="20"/>
          <w:szCs w:val="20"/>
          <w:color w:val="auto"/>
        </w:rPr>
      </w:pPr>
      <w:r>
        <w:rPr>
          <w:rFonts w:ascii="Times New Roman" w:cs="Times New Roman" w:eastAsia="Times New Roman" w:hAnsi="Times New Roman"/>
          <w:sz w:val="22"/>
          <w:szCs w:val="22"/>
          <w:color w:val="auto"/>
        </w:rPr>
        <w:t xml:space="preserve">The written approval required shall be requested and given using the form attached hereto as </w:t>
      </w:r>
      <w:r>
        <w:rPr>
          <w:rFonts w:ascii="Times New Roman" w:cs="Times New Roman" w:eastAsia="Times New Roman" w:hAnsi="Times New Roman"/>
          <w:sz w:val="22"/>
          <w:szCs w:val="22"/>
          <w:b w:val="1"/>
          <w:bCs w:val="1"/>
          <w:color w:val="auto"/>
        </w:rPr>
        <w:t>Exhibit A – Notice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Certification Form</w:t>
      </w:r>
      <w:r>
        <w:rPr>
          <w:rFonts w:ascii="Times New Roman" w:cs="Times New Roman" w:eastAsia="Times New Roman" w:hAnsi="Times New Roman"/>
          <w:sz w:val="22"/>
          <w:szCs w:val="22"/>
          <w:color w:val="auto"/>
        </w:rPr>
        <w:t>. If the proposed trade is not completed within 5 business days of receiving the required approval, a new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and Certification form shall be required in order to trade in Company securities.</w:t>
      </w:r>
    </w:p>
    <w:p>
      <w:pPr>
        <w:spacing w:after="0" w:line="123"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22"/>
          <w:szCs w:val="22"/>
          <w:color w:val="auto"/>
        </w:rPr>
        <w:t>If you proceed with a transaction, the Company will assist you in complying with your Section 16 reporting obligations. Under Section 16, directors and executive officers are required to a file a Form 4 with the SEC within two business days after certain changes in beneficial ownership occur (including the exercise of options or other derivative securities). Form 4 requires that you provide detailed information relating to any purchase, sale, transfer or exercise, including the price of the shares acquired or disposed, the transaction date and the amount of securities beneficially owned following the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GUIDANCE</w:t>
      </w:r>
    </w:p>
    <w:p>
      <w:pPr>
        <w:spacing w:after="0" w:line="166" w:lineRule="exact"/>
        <w:rPr>
          <w:sz w:val="20"/>
          <w:szCs w:val="20"/>
          <w:color w:val="auto"/>
        </w:rPr>
      </w:pPr>
    </w:p>
    <w:p>
      <w:pPr>
        <w:ind w:right="400"/>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Hedging Transactions. </w:t>
      </w:r>
      <w:r>
        <w:rPr>
          <w:rFonts w:ascii="Times New Roman" w:cs="Times New Roman" w:eastAsia="Times New Roman" w:hAnsi="Times New Roman"/>
          <w:sz w:val="22"/>
          <w:szCs w:val="22"/>
          <w:color w:val="auto"/>
        </w:rPr>
        <w:t>The Company prohibits hedging and monetization transactions that transfer, with respect to equity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received by a director, officer, or employee, any portion of the risk of a decline in the market price of shares of Company common stock.</w:t>
      </w:r>
    </w:p>
    <w:p>
      <w:pPr>
        <w:spacing w:after="0" w:line="119"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Margin Accounts and Pledges. </w:t>
      </w:r>
      <w:r>
        <w:rPr>
          <w:rFonts w:ascii="Times New Roman" w:cs="Times New Roman" w:eastAsia="Times New Roman" w:hAnsi="Times New Roman"/>
          <w:sz w:val="22"/>
          <w:szCs w:val="22"/>
          <w:color w:val="auto"/>
        </w:rPr>
        <w:t>When securities are held in a margin account or pledged as collateral for a loan, such 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be sold without the holder’s consent if the holder fails to meet a margin call or defaults on the loan. A margin or foreclosure sale that occurs when an insider is aware of material nonpublic information may, under some circumstances, result in unlawful insider trading. Because of this risk, directors, officers and employees are not permitted to pledge Company securities or hold Company securities in margin accounts.</w:t>
      </w:r>
    </w:p>
    <w:p>
      <w:pPr>
        <w:sectPr>
          <w:pgSz w:w="11900" w:h="16838" w:orient="portrait"/>
          <w:cols w:equalWidth="0" w:num="1">
            <w:col w:w="11220"/>
          </w:cols>
          <w:pgMar w:left="320" w:top="1367"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b w:val="1"/>
          <w:bCs w:val="1"/>
          <w:color w:val="auto"/>
        </w:rPr>
        <w:t>POST TERMINATION TRANSACTIONS</w:t>
      </w:r>
    </w:p>
    <w:p>
      <w:pPr>
        <w:spacing w:after="0" w:line="170"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2"/>
          <w:szCs w:val="22"/>
          <w:color w:val="auto"/>
        </w:rPr>
        <w:t xml:space="preserve">This Policy continues to apply to transactions in the Company’s securities after termination of service to the Company. If an individual is in possession of material nonpublic information when his or her service terminates, or if the Company’s trading window is closed at the time of termination, that individual may not trade in the Company’s securities until any such material nonpublic information has become public or is no longer material and/or the Company’s trading window has opened. The preclearance procedures specified in Section </w:t>
      </w:r>
      <w:r>
        <w:rPr>
          <w:rFonts w:ascii="Times New Roman" w:cs="Times New Roman" w:eastAsia="Times New Roman" w:hAnsi="Times New Roman"/>
          <w:sz w:val="22"/>
          <w:szCs w:val="22"/>
          <w:i w:val="1"/>
          <w:iCs w:val="1"/>
          <w:color w:val="auto"/>
        </w:rPr>
        <w:t>Timing of Transactions - Directors and Executive Officers of the Company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subject to special restrictions </w:t>
      </w:r>
      <w:r>
        <w:rPr>
          <w:rFonts w:ascii="Times New Roman" w:cs="Times New Roman" w:eastAsia="Times New Roman" w:hAnsi="Times New Roman"/>
          <w:sz w:val="22"/>
          <w:szCs w:val="22"/>
          <w:color w:val="auto"/>
        </w:rPr>
        <w:t>above, however, will cease to apply to transactions in the Company’s securities upon the opening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trading window and/or expiration of any special trading blackout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ASSISTANCE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Anyone with questions about specific transactions may obtain additional guidance from the Chief Financial Officer.</w:t>
      </w:r>
    </w:p>
    <w:p>
      <w:pPr>
        <w:sectPr>
          <w:pgSz w:w="11900" w:h="16838" w:orient="portrait"/>
          <w:cols w:equalWidth="0" w:num="1">
            <w:col w:w="11220"/>
          </w:cols>
          <w:pgMar w:left="320" w:top="1363"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b w:val="1"/>
          <w:bCs w:val="1"/>
          <w:color w:val="auto"/>
        </w:rPr>
        <w:t>ACKNOWLEDGEMENT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signing below, the undersigned acknowledges that he or she has read the attached policy and agrees to adhere to such policy.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4" w:lineRule="exact"/>
        <w:rPr>
          <w:sz w:val="20"/>
          <w:szCs w:val="20"/>
          <w:color w:val="auto"/>
        </w:rPr>
      </w:pPr>
    </w:p>
    <w:p>
      <w:pPr>
        <w:spacing w:after="0"/>
        <w:rPr>
          <w:sz w:val="20"/>
          <w:szCs w:val="20"/>
          <w:color w:val="auto"/>
        </w:rPr>
      </w:pPr>
      <w:r>
        <w:rPr>
          <w:sz w:val="1"/>
          <w:szCs w:val="1"/>
          <w:color w:val="auto"/>
        </w:rPr>
        <w:drawing>
          <wp:inline distT="0" distB="0" distL="0" distR="0">
            <wp:extent cx="1680210" cy="1797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6">
                      <a:extLst>
                        <a:ext uri="{28A0092B-C50C-407E-A947-70E740481C1C}"/>
                      </a:extLst>
                    </a:blip>
                    <a:srcRect/>
                    <a:stretch>
                      <a:fillRect/>
                    </a:stretch>
                  </pic:blipFill>
                  <pic:spPr bwMode="auto">
                    <a:xfrm>
                      <a:off x="0" y="0"/>
                      <a:ext cx="1680210" cy="179705"/>
                    </a:xfrm>
                    <a:prstGeom prst="rect">
                      <a:avLst/>
                    </a:prstGeom>
                    <a:noFill/>
                    <a:ln>
                      <a:noFill/>
                    </a:ln>
                  </pic:spPr>
                </pic:pic>
              </a:graphicData>
            </a:graphic>
          </wp:inline>
        </w:drawing>
      </w:r>
      <w:r>
        <w:rPr>
          <w:rFonts w:ascii="Times New Roman" w:cs="Times New Roman" w:eastAsia="Times New Roman" w:hAnsi="Times New Roman"/>
          <w:sz w:val="22"/>
          <w:szCs w:val="22"/>
          <w:color w:val="auto"/>
        </w:rPr>
        <w:t>Signature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[Insider Trading Policy Acknowledgement]</w:t>
      </w:r>
    </w:p>
    <w:p>
      <w:pPr>
        <w:sectPr>
          <w:pgSz w:w="11900" w:h="16838" w:orient="portrait"/>
          <w:cols w:equalWidth="0" w:num="1">
            <w:col w:w="11080"/>
          </w:cols>
          <w:pgMar w:left="320" w:top="1363" w:right="499" w:bottom="1440" w:gutter="0" w:footer="0" w:header="0"/>
        </w:sectPr>
      </w:pPr>
    </w:p>
    <w:bookmarkStart w:id="148" w:name="page149"/>
    <w:bookmarkEnd w:id="148"/>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jc w:val="center"/>
        <w:ind w:right="-19"/>
        <w:spacing w:after="0" w:line="204" w:lineRule="auto"/>
        <w:rPr>
          <w:sz w:val="20"/>
          <w:szCs w:val="20"/>
          <w:color w:val="auto"/>
        </w:rPr>
      </w:pPr>
      <w:r>
        <w:rPr>
          <w:rFonts w:ascii="Times New Roman" w:cs="Times New Roman" w:eastAsia="Times New Roman" w:hAnsi="Times New Roman"/>
          <w:sz w:val="22"/>
          <w:szCs w:val="22"/>
          <w:color w:val="auto"/>
        </w:rPr>
        <w:t>SUPERNUS PHARMACEUTICALS, INC.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INSIDER TRADING POLICY</w:t>
      </w:r>
    </w:p>
    <w:p>
      <w:pPr>
        <w:spacing w:after="0" w:line="18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u w:val="single" w:color="auto"/>
          <w:color w:val="auto"/>
        </w:rPr>
        <w:t>Notice and Certification of Transactions or Rule 10b5-1 Plans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Chief Financial Officer (or designee):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notify you of my intent to:</w:t>
      </w:r>
    </w:p>
    <w:p>
      <w:pPr>
        <w:spacing w:after="0" w:line="206" w:lineRule="exact"/>
        <w:rPr>
          <w:sz w:val="20"/>
          <w:szCs w:val="20"/>
          <w:color w:val="auto"/>
        </w:rPr>
      </w:pPr>
    </w:p>
    <w:p>
      <w:pPr>
        <w:ind w:left="660" w:right="40" w:hanging="328"/>
        <w:spacing w:after="0" w:line="236" w:lineRule="auto"/>
        <w:tabs>
          <w:tab w:leader="none" w:pos="65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in securities of Supernus Pharmaceuticals, Inc. (the “Company”). The amount and nature of the proposed trade is as follows:</w:t>
      </w:r>
    </w:p>
    <w:p>
      <w:pPr>
        <w:spacing w:after="0" w:line="177" w:lineRule="exact"/>
        <w:rPr>
          <w:rFonts w:ascii="Times New Roman" w:cs="Times New Roman" w:eastAsia="Times New Roman" w:hAnsi="Times New Roman"/>
          <w:sz w:val="22"/>
          <w:szCs w:val="22"/>
          <w:color w:val="auto"/>
        </w:rPr>
      </w:pPr>
    </w:p>
    <w:p>
      <w:pPr>
        <w:ind w:left="1300" w:right="320" w:hanging="320"/>
        <w:spacing w:after="0" w:line="236" w:lineRule="auto"/>
        <w:tabs>
          <w:tab w:leader="none" w:pos="129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__________ (number of options to be exercised) non-qualified stock options granted under the Equity Incentive Plan on ____________ (date(s) of grant);</w:t>
      </w:r>
    </w:p>
    <w:p>
      <w:pPr>
        <w:spacing w:after="0" w:line="177" w:lineRule="exact"/>
        <w:rPr>
          <w:rFonts w:ascii="Times New Roman" w:cs="Times New Roman" w:eastAsia="Times New Roman" w:hAnsi="Times New Roman"/>
          <w:sz w:val="22"/>
          <w:szCs w:val="22"/>
          <w:color w:val="auto"/>
        </w:rPr>
      </w:pPr>
    </w:p>
    <w:p>
      <w:pPr>
        <w:ind w:left="1300" w:right="3560" w:hanging="320"/>
        <w:spacing w:after="0" w:line="236" w:lineRule="auto"/>
        <w:tabs>
          <w:tab w:leader="none" w:pos="129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in the open market shares of Company Common Stock currently held at (select below):</w:t>
      </w:r>
    </w:p>
    <w:p>
      <w:pPr>
        <w:spacing w:after="0" w:line="164"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2"/>
          <w:numId w:val="78"/>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Morgan Stanley</w:t>
      </w:r>
    </w:p>
    <w:p>
      <w:pPr>
        <w:ind w:left="1720" w:hanging="416"/>
        <w:spacing w:after="0" w:line="204" w:lineRule="auto"/>
        <w:tabs>
          <w:tab w:leader="none" w:pos="1720" w:val="left"/>
        </w:tabs>
        <w:numPr>
          <w:ilvl w:val="2"/>
          <w:numId w:val="78"/>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In certificated form</w:t>
      </w:r>
    </w:p>
    <w:p>
      <w:pPr>
        <w:spacing w:after="0" w:line="1" w:lineRule="exact"/>
        <w:rPr>
          <w:sz w:val="20"/>
          <w:szCs w:val="20"/>
          <w:color w:val="auto"/>
        </w:rPr>
      </w:pPr>
    </w:p>
    <w:p>
      <w:pPr>
        <w:ind w:left="1300"/>
        <w:spacing w:after="0"/>
        <w:tabs>
          <w:tab w:leader="none" w:pos="1700" w:val="left"/>
          <w:tab w:leader="none" w:pos="50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22"/>
          <w:szCs w:val="22"/>
          <w:color w:val="auto"/>
        </w:rPr>
        <w:t>Other broker (please specify)</w:t>
      </w:r>
      <w:r>
        <w:rPr>
          <w:sz w:val="20"/>
          <w:szCs w:val="20"/>
          <w:color w:val="auto"/>
        </w:rPr>
        <w:tab/>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-29210</wp:posOffset>
            </wp:positionV>
            <wp:extent cx="3810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7">
                      <a:extLst>
                        <a:ext uri="{28A0092B-C50C-407E-A947-70E740481C1C}"/>
                      </a:extLst>
                    </a:blip>
                    <a:srcRect/>
                    <a:stretch>
                      <a:fillRect/>
                    </a:stretch>
                  </pic:blipFill>
                  <pic:spPr bwMode="auto">
                    <a:xfrm>
                      <a:off x="0" y="0"/>
                      <a:ext cx="381000" cy="8890"/>
                    </a:xfrm>
                    <a:prstGeom prst="rect">
                      <a:avLst/>
                    </a:prstGeom>
                    <a:noFill/>
                  </pic:spPr>
                </pic:pic>
              </a:graphicData>
            </a:graphic>
          </wp:anchor>
        </w:drawing>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Commentary: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-11430</wp:posOffset>
            </wp:positionV>
            <wp:extent cx="10972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0" w:lineRule="exact"/>
        <w:rPr>
          <w:sz w:val="20"/>
          <w:szCs w:val="20"/>
          <w:color w:val="auto"/>
        </w:rPr>
      </w:pPr>
    </w:p>
    <w:p>
      <w:pPr>
        <w:ind w:left="1300" w:right="2920" w:hanging="320"/>
        <w:spacing w:after="0" w:line="255" w:lineRule="auto"/>
        <w:tabs>
          <w:tab w:leader="none" w:pos="1295"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 in the open market shares of the Company’s Common Stock as follows: Number of shares Company Common Stock to be purchased:________;</w:t>
      </w:r>
    </w:p>
    <w:p>
      <w:pPr>
        <w:spacing w:after="0" w:line="148"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 shares of Company Common Stock to:</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recipient of gift shares ____________________;</w:t>
      </w:r>
    </w:p>
    <w:p>
      <w:pPr>
        <w:spacing w:after="0" w:line="182" w:lineRule="exact"/>
        <w:rPr>
          <w:rFonts w:ascii="Times New Roman" w:cs="Times New Roman" w:eastAsia="Times New Roman" w:hAnsi="Times New Roman"/>
          <w:sz w:val="22"/>
          <w:szCs w:val="22"/>
          <w:color w:val="auto"/>
        </w:rPr>
      </w:pPr>
    </w:p>
    <w:p>
      <w:pPr>
        <w:ind w:left="660" w:right="3600" w:hanging="328"/>
        <w:spacing w:after="0" w:line="255" w:lineRule="auto"/>
        <w:tabs>
          <w:tab w:leader="none" w:pos="65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Adopt a Rule 10b5-1 plan (generally, only one active trading plan is permitted*); * exceptions apply for certain sell-to-cover (for tax withholding) only plans</w:t>
      </w:r>
    </w:p>
    <w:p>
      <w:pPr>
        <w:spacing w:after="0" w:line="161"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or amend a Rule 10b5-1 plan;</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securities of the Company without a change in beneficial ownership;</w:t>
      </w:r>
    </w:p>
    <w:p>
      <w:pPr>
        <w:spacing w:after="0" w:line="19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(explain) __________________________________________________</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_______________________________________________________________</w:t>
      </w:r>
    </w:p>
    <w:p>
      <w:pPr>
        <w:spacing w:after="0" w:line="18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For a request to adopt, modify, or amend a Rule 10b5-1 plan (the “Plan”) or trade or gift securities of the Company, I certify that I am not aware of any material nonpublic information about the Company.</w:t>
      </w:r>
    </w:p>
    <w:p>
      <w:pPr>
        <w:spacing w:after="0" w:line="177"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22"/>
          <w:szCs w:val="22"/>
          <w:color w:val="auto"/>
        </w:rPr>
        <w:t>For a request to adopt, modify or amend a Rule 10b5-1 plan (the “Plan”), I understand that I am not authorized to adopt, modify or amend the Plan in reliance upon this Notice and Certification until the date as of which this Notice and Certification is approved by the Chief Financial Officer or his/her designee (the “Approval Date”), and that such</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79"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22"/>
          <w:szCs w:val="22"/>
          <w:color w:val="auto"/>
        </w:rPr>
        <w:t>authorization, if received, will continue until the earlier of (i) five business days after the Approval Date, or (ii) the Company’s announcement of the imposition of a “blackout period”. I understand that if I have not adopted, modified or amended my proposed Plan by the last date of the authorization period set forth in the immediately preceding sentence, I must submit a new Notice and Certification in order to adopt, modify or amend a Plan. I certify that: (i) I am not aware of any material nonpublic information about the Company, and (ii) my adoption, modification or amendment of the Plan is being done in good faith and not as part of a scheme to evade the Securities Exchange Act’s prohibition on insider trading.</w:t>
      </w:r>
    </w:p>
    <w:p>
      <w:pPr>
        <w:spacing w:after="0" w:line="179"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22"/>
          <w:szCs w:val="22"/>
          <w:color w:val="auto"/>
        </w:rPr>
        <w:t>For a request to trade, gift or otherwise transfer securities of the Company, I understand that I am not authorized to trade, gift or otherwise transfer securities of the Company in reliance upon this Notice and Certification until the date as of which this Notice and Certification is approved by the Chief Financial Officer or his/her designee, and that such authorization will continue until the earlier of (i) five business days after the Approval Date, or (ii) the Company’s announcement of the imposition of a “blackout period”. I understand that if I have not completed my proposed trade, gift or other transfer by the last date of the authorization period set forth in the immediately preceding sentence, I must submit a new Notice and Certification in order to trade, gift or otherwise transfer Company securities.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6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Signature</w:t>
            </w:r>
          </w:p>
        </w:tc>
        <w:tc>
          <w:tcPr>
            <w:tcW w:w="56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Date</w:t>
            </w:r>
          </w:p>
        </w:tc>
      </w:tr>
      <w:tr>
        <w:trPr>
          <w:trHeight w:val="501"/>
        </w:trPr>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276"/>
        </w:trPr>
        <w:tc>
          <w:tcPr>
            <w:tcW w:w="56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Print Name</w:t>
            </w:r>
          </w:p>
        </w:tc>
        <w:tc>
          <w:tcPr>
            <w:tcW w:w="5620" w:type="dxa"/>
            <w:vAlign w:val="bottom"/>
          </w:tcPr>
          <w:p>
            <w:pPr>
              <w:spacing w:after="0"/>
              <w:rPr>
                <w:sz w:val="23"/>
                <w:szCs w:val="23"/>
                <w:color w:val="auto"/>
              </w:rPr>
            </w:pPr>
          </w:p>
        </w:tc>
      </w:tr>
      <w:tr>
        <w:trPr>
          <w:trHeight w:val="514"/>
        </w:trPr>
        <w:tc>
          <w:tcPr>
            <w:tcW w:w="5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Approval</w:t>
            </w:r>
          </w:p>
        </w:tc>
        <w:tc>
          <w:tcPr>
            <w:tcW w:w="5620" w:type="dxa"/>
            <w:vAlign w:val="bottom"/>
          </w:tcPr>
          <w:p>
            <w:pPr>
              <w:spacing w:after="0"/>
              <w:rPr>
                <w:sz w:val="24"/>
                <w:szCs w:val="24"/>
                <w:color w:val="auto"/>
              </w:rPr>
            </w:pPr>
          </w:p>
        </w:tc>
      </w:tr>
      <w:tr>
        <w:trPr>
          <w:trHeight w:val="533"/>
        </w:trPr>
        <w:tc>
          <w:tcPr>
            <w:tcW w:w="880" w:type="dxa"/>
            <w:vAlign w:val="bottom"/>
            <w:tcBorders>
              <w:top w:val="single" w:sz="8" w:color="auto"/>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276"/>
        </w:trPr>
        <w:tc>
          <w:tcPr>
            <w:tcW w:w="56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Signature</w:t>
            </w:r>
          </w:p>
        </w:tc>
        <w:tc>
          <w:tcPr>
            <w:tcW w:w="5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w:t>
            </w:r>
          </w:p>
        </w:tc>
      </w:tr>
      <w:tr>
        <w:trPr>
          <w:trHeight w:val="501"/>
        </w:trPr>
        <w:tc>
          <w:tcPr>
            <w:tcW w:w="5620" w:type="dxa"/>
            <w:vAlign w:val="bottom"/>
            <w:tcBorders>
              <w:bottom w:val="single" w:sz="8" w:color="auto"/>
            </w:tcBorders>
            <w:gridSpan w:val="2"/>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276"/>
        </w:trPr>
        <w:tc>
          <w:tcPr>
            <w:tcW w:w="56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Print Name</w:t>
            </w:r>
          </w:p>
        </w:tc>
        <w:tc>
          <w:tcPr>
            <w:tcW w:w="5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r>
    </w:tbl>
    <w:p>
      <w:pPr>
        <w:sectPr>
          <w:pgSz w:w="11900" w:h="16838" w:orient="portrait"/>
          <w:cols w:equalWidth="0" w:num="1">
            <w:col w:w="11240"/>
          </w:cols>
          <w:pgMar w:left="320" w:top="1440" w:right="339" w:bottom="1440" w:gutter="0" w:footer="0" w:header="0"/>
        </w:sectPr>
      </w:pPr>
    </w:p>
    <w:bookmarkStart w:id="150" w:name="page151"/>
    <w:bookmarkEnd w:id="150"/>
    <w:p>
      <w:pPr>
        <w:ind w:left="10280"/>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5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SIGNIFICANT SUBSIDIARIES OF SUPERNUS PHARMACEUTICALS, INC.</w:t>
            </w:r>
          </w:p>
        </w:tc>
      </w:tr>
      <w:tr>
        <w:trPr>
          <w:trHeight w:val="600"/>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Subsidiaries</w:t>
            </w:r>
          </w:p>
        </w:tc>
        <w:tc>
          <w:tcPr>
            <w:tcW w:w="5660" w:type="dxa"/>
            <w:vAlign w:val="bottom"/>
          </w:tcPr>
          <w:p>
            <w:pPr>
              <w:spacing w:after="0"/>
              <w:rPr>
                <w:sz w:val="24"/>
                <w:szCs w:val="24"/>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34"/>
        </w:trPr>
        <w:tc>
          <w:tcPr>
            <w:tcW w:w="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MDD US Enterprises, LLC</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MDD US Operations, LLC</w:t>
            </w:r>
          </w:p>
        </w:tc>
        <w:tc>
          <w:tcPr>
            <w:tcW w:w="566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Supernus Europe Ltd.</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Adamas Pharmaceuticals, LLC</w:t>
            </w:r>
          </w:p>
        </w:tc>
        <w:tc>
          <w:tcPr>
            <w:tcW w:w="566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Adamas Operations, LLC</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Adamas Holdings, LLC</w:t>
            </w:r>
          </w:p>
        </w:tc>
        <w:tc>
          <w:tcPr>
            <w:tcW w:w="566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Biscayne Neurotherapeutics, Inc.</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40" w:top="893" w:right="35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333-201049, 333-216135, 333-239459, 333-257392, and 333-280276) on Form S-8 of our reports dated February 25, 2025, with respect to the consolidated financial statements of Supernus Pharmaceuticals,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00"/>
          </w:cols>
          <w:pgMar w:left="320" w:top="1069" w:right="379" w:bottom="1440" w:gutter="0" w:footer="0" w:header="0"/>
        </w:sectPr>
      </w:pPr>
    </w:p>
    <w:bookmarkStart w:id="152" w:name="page153"/>
    <w:bookmarkEnd w:id="152"/>
    <w:p>
      <w:pPr>
        <w:ind w:left="101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Jack A. Khattar, certify that:</w:t>
      </w:r>
    </w:p>
    <w:p>
      <w:pPr>
        <w:spacing w:after="0" w:line="181"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Supernus Pharmaceuticals, Inc.;</w:t>
      </w:r>
    </w:p>
    <w:p>
      <w:pPr>
        <w:spacing w:after="0" w:line="194"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6"/>
          <w:szCs w:val="16"/>
          <w:color w:val="auto"/>
        </w:rPr>
      </w:pPr>
    </w:p>
    <w:p>
      <w:pPr>
        <w:ind w:left="660" w:right="340" w:hanging="328"/>
        <w:spacing w:after="0" w:line="272" w:lineRule="auto"/>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6"/>
          <w:szCs w:val="16"/>
          <w:color w:val="auto"/>
        </w:rPr>
      </w:pPr>
    </w:p>
    <w:p>
      <w:pPr>
        <w:jc w:val="both"/>
        <w:ind w:left="820" w:right="20" w:hanging="2"/>
        <w:spacing w:after="0" w:line="272" w:lineRule="auto"/>
        <w:tabs>
          <w:tab w:leader="none" w:pos="1297"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Times New Roman" w:cs="Times New Roman" w:eastAsia="Times New Roman" w:hAnsi="Times New Roman"/>
          <w:sz w:val="16"/>
          <w:szCs w:val="16"/>
          <w:color w:val="auto"/>
        </w:rPr>
      </w:pPr>
    </w:p>
    <w:p>
      <w:pPr>
        <w:ind w:left="820" w:right="60" w:hanging="2"/>
        <w:spacing w:after="0" w:line="272" w:lineRule="auto"/>
        <w:tabs>
          <w:tab w:leader="none" w:pos="1306"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Times New Roman" w:cs="Times New Roman" w:eastAsia="Times New Roman" w:hAnsi="Times New Roman"/>
          <w:sz w:val="16"/>
          <w:szCs w:val="16"/>
          <w:color w:val="auto"/>
        </w:rPr>
      </w:pPr>
    </w:p>
    <w:p>
      <w:pPr>
        <w:ind w:left="820" w:right="200" w:hanging="2"/>
        <w:spacing w:after="0" w:line="280" w:lineRule="auto"/>
        <w:tabs>
          <w:tab w:leader="none" w:pos="1297"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820" w:right="420" w:hanging="2"/>
        <w:spacing w:after="0" w:line="272" w:lineRule="auto"/>
        <w:tabs>
          <w:tab w:leader="none" w:pos="1306"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left="660" w:right="320" w:hanging="328"/>
        <w:spacing w:after="0" w:line="280" w:lineRule="auto"/>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820" w:right="140" w:hanging="2"/>
        <w:spacing w:after="0" w:line="280" w:lineRule="auto"/>
        <w:tabs>
          <w:tab w:leader="none" w:pos="1297"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820" w:right="360" w:hanging="2"/>
        <w:spacing w:after="0" w:line="280" w:lineRule="auto"/>
        <w:tabs>
          <w:tab w:leader="none" w:pos="1306"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73"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February 25, 2025</w:t>
            </w:r>
          </w:p>
        </w:tc>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 JACK A. KHATTAR</w:t>
            </w:r>
          </w:p>
        </w:tc>
      </w:tr>
      <w:tr>
        <w:trPr>
          <w:trHeight w:val="155"/>
        </w:trPr>
        <w:tc>
          <w:tcPr>
            <w:tcW w:w="4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6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Jack A. Khattar</w:t>
            </w:r>
          </w:p>
        </w:tc>
      </w:tr>
      <w:tr>
        <w:trPr>
          <w:trHeight w:val="212"/>
        </w:trPr>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r>
    </w:tbl>
    <w:p>
      <w:pPr>
        <w:sectPr>
          <w:pgSz w:w="11900" w:h="16838" w:orient="portrait"/>
          <w:cols w:equalWidth="0" w:num="1">
            <w:col w:w="11240"/>
          </w:cols>
          <w:pgMar w:left="320" w:top="1069" w:right="339" w:bottom="1440" w:gutter="0" w:footer="0" w:header="0"/>
        </w:sectPr>
      </w:pPr>
    </w:p>
    <w:bookmarkStart w:id="153" w:name="page154"/>
    <w:bookmarkEnd w:id="153"/>
    <w:p>
      <w:pPr>
        <w:ind w:left="101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Timothy C. Dec, certify that:</w:t>
      </w:r>
    </w:p>
    <w:p>
      <w:pPr>
        <w:spacing w:after="0" w:line="181"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Supernus Pharmaceuticals, Inc.;</w:t>
      </w:r>
    </w:p>
    <w:p>
      <w:pPr>
        <w:spacing w:after="0" w:line="194"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6"/>
          <w:szCs w:val="16"/>
          <w:color w:val="auto"/>
        </w:rPr>
      </w:pPr>
    </w:p>
    <w:p>
      <w:pPr>
        <w:ind w:left="660" w:right="340" w:hanging="328"/>
        <w:spacing w:after="0" w:line="272" w:lineRule="auto"/>
        <w:tabs>
          <w:tab w:leader="none" w:pos="6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6"/>
          <w:szCs w:val="16"/>
          <w:color w:val="auto"/>
        </w:rPr>
      </w:pPr>
    </w:p>
    <w:p>
      <w:pPr>
        <w:jc w:val="both"/>
        <w:ind w:left="820" w:right="20" w:hanging="2"/>
        <w:spacing w:after="0" w:line="272" w:lineRule="auto"/>
        <w:tabs>
          <w:tab w:leader="none" w:pos="1297"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Times New Roman" w:cs="Times New Roman" w:eastAsia="Times New Roman" w:hAnsi="Times New Roman"/>
          <w:sz w:val="16"/>
          <w:szCs w:val="16"/>
          <w:color w:val="auto"/>
        </w:rPr>
      </w:pPr>
    </w:p>
    <w:p>
      <w:pPr>
        <w:ind w:left="820" w:right="60" w:hanging="2"/>
        <w:spacing w:after="0" w:line="272" w:lineRule="auto"/>
        <w:tabs>
          <w:tab w:leader="none" w:pos="1306"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Times New Roman" w:cs="Times New Roman" w:eastAsia="Times New Roman" w:hAnsi="Times New Roman"/>
          <w:sz w:val="16"/>
          <w:szCs w:val="16"/>
          <w:color w:val="auto"/>
        </w:rPr>
      </w:pPr>
    </w:p>
    <w:p>
      <w:pPr>
        <w:ind w:left="820" w:right="200" w:hanging="2"/>
        <w:spacing w:after="0" w:line="280" w:lineRule="auto"/>
        <w:tabs>
          <w:tab w:leader="none" w:pos="1297"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820" w:right="420" w:hanging="2"/>
        <w:spacing w:after="0" w:line="272" w:lineRule="auto"/>
        <w:tabs>
          <w:tab w:leader="none" w:pos="1306"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left="660" w:right="320" w:hanging="328"/>
        <w:spacing w:after="0" w:line="280" w:lineRule="auto"/>
        <w:tabs>
          <w:tab w:leader="none" w:pos="6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820" w:right="140" w:hanging="2"/>
        <w:spacing w:after="0" w:line="280" w:lineRule="auto"/>
        <w:tabs>
          <w:tab w:leader="none" w:pos="1297"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820" w:right="360" w:hanging="2"/>
        <w:spacing w:after="0" w:line="280" w:lineRule="auto"/>
        <w:tabs>
          <w:tab w:leader="none" w:pos="1306"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68" w:lineRule="exact"/>
        <w:rPr>
          <w:sz w:val="20"/>
          <w:szCs w:val="20"/>
          <w:color w:val="auto"/>
        </w:rPr>
      </w:pPr>
    </w:p>
    <w:p>
      <w:pPr>
        <w:ind w:left="840"/>
        <w:spacing w:after="0"/>
        <w:tabs>
          <w:tab w:leader="none" w:pos="5560" w:val="left"/>
          <w:tab w:leader="none" w:pos="6000" w:val="left"/>
        </w:tabs>
        <w:rPr>
          <w:sz w:val="20"/>
          <w:szCs w:val="20"/>
          <w:color w:val="auto"/>
        </w:rPr>
      </w:pPr>
      <w:r>
        <w:rPr>
          <w:rFonts w:ascii="Times New Roman" w:cs="Times New Roman" w:eastAsia="Times New Roman" w:hAnsi="Times New Roman"/>
          <w:sz w:val="18"/>
          <w:szCs w:val="18"/>
          <w:color w:val="auto"/>
        </w:rPr>
        <w:t>February 25,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0257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9">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Timothy C. Dec</w:t>
      </w:r>
    </w:p>
    <w:p>
      <w:pPr>
        <w:ind w:left="6020"/>
        <w:spacing w:after="0"/>
        <w:rPr>
          <w:sz w:val="20"/>
          <w:szCs w:val="20"/>
          <w:color w:val="auto"/>
        </w:rPr>
      </w:pPr>
      <w:r>
        <w:rPr>
          <w:rFonts w:ascii="Times New Roman" w:cs="Times New Roman" w:eastAsia="Times New Roman" w:hAnsi="Times New Roman"/>
          <w:sz w:val="16"/>
          <w:szCs w:val="16"/>
          <w:i w:val="1"/>
          <w:iCs w:val="1"/>
          <w:color w:val="auto"/>
        </w:rPr>
        <w:t>Senior Vice-President and Chief Financial Officer</w:t>
      </w:r>
    </w:p>
    <w:p>
      <w:pPr>
        <w:sectPr>
          <w:pgSz w:w="11900" w:h="16838" w:orient="portrait"/>
          <w:cols w:equalWidth="0" w:num="1">
            <w:col w:w="11240"/>
          </w:cols>
          <w:pgMar w:left="320" w:top="1069"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00" w:lineRule="exact"/>
        <w:rPr>
          <w:sz w:val="20"/>
          <w:szCs w:val="20"/>
          <w:color w:val="auto"/>
        </w:rPr>
      </w:pPr>
    </w:p>
    <w:p>
      <w:pPr>
        <w:spacing w:after="0" w:line="219"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In connection with the Annual Report of Supernus Pharmaceuticals, Inc. (the "Company") on Form 10-K for the year ended December 31, 2024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51"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11" w:lineRule="exact"/>
        <w:rPr>
          <w:sz w:val="20"/>
          <w:szCs w:val="20"/>
          <w:color w:val="auto"/>
        </w:rPr>
      </w:pPr>
    </w:p>
    <w:p>
      <w:pPr>
        <w:ind w:left="360"/>
        <w:spacing w:after="0"/>
        <w:tabs>
          <w:tab w:leader="none" w:pos="5520" w:val="left"/>
          <w:tab w:leader="none" w:pos="6000" w:val="left"/>
        </w:tabs>
        <w:rPr>
          <w:sz w:val="20"/>
          <w:szCs w:val="20"/>
          <w:color w:val="auto"/>
        </w:rPr>
      </w:pPr>
      <w:r>
        <w:rPr>
          <w:rFonts w:ascii="Times New Roman" w:cs="Times New Roman" w:eastAsia="Times New Roman" w:hAnsi="Times New Roman"/>
          <w:sz w:val="16"/>
          <w:szCs w:val="16"/>
          <w:color w:val="auto"/>
        </w:rPr>
        <w:t>February 25,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33089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Jack A. Khattar</w:t>
      </w:r>
    </w:p>
    <w:p>
      <w:pPr>
        <w:spacing w:after="0" w:line="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00"/>
          </w:cols>
          <w:pgMar w:left="320" w:top="893" w:right="37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30"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 connection with the Annual Report of Supernus Pharmaceuticals, Inc. (the "Company") on Form 10-K for the year ended December 31, 2024 as filed with the Securities and Exchange Commission on the date hereof (the "Report"), I, Timothy C. Dec, Senior Vice-President and Chief Financial Officer of the Company, certify, pursuant to 18 U.S.C. sec. 1350, as adopted pursuant to Section 906 of the Sarbanes-Oxley Act of 2002, that:</w:t>
      </w:r>
    </w:p>
    <w:p>
      <w:pPr>
        <w:spacing w:after="0" w:line="144"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11" w:lineRule="exact"/>
        <w:rPr>
          <w:sz w:val="20"/>
          <w:szCs w:val="20"/>
          <w:color w:val="auto"/>
        </w:rPr>
      </w:pPr>
    </w:p>
    <w:p>
      <w:pPr>
        <w:ind w:left="360"/>
        <w:spacing w:after="0"/>
        <w:tabs>
          <w:tab w:leader="none" w:pos="5520" w:val="left"/>
          <w:tab w:leader="none" w:pos="5980" w:val="left"/>
        </w:tabs>
        <w:rPr>
          <w:sz w:val="20"/>
          <w:szCs w:val="20"/>
          <w:color w:val="auto"/>
        </w:rPr>
      </w:pPr>
      <w:r>
        <w:rPr>
          <w:rFonts w:ascii="Times New Roman" w:cs="Times New Roman" w:eastAsia="Times New Roman" w:hAnsi="Times New Roman"/>
          <w:sz w:val="16"/>
          <w:szCs w:val="16"/>
          <w:color w:val="auto"/>
        </w:rPr>
        <w:t>February 25,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33089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Timothy C. Dec</w:t>
      </w:r>
    </w:p>
    <w:p>
      <w:pPr>
        <w:ind w:left="6000"/>
        <w:spacing w:after="0"/>
        <w:rPr>
          <w:sz w:val="20"/>
          <w:szCs w:val="20"/>
          <w:color w:val="auto"/>
        </w:rPr>
      </w:pPr>
      <w:r>
        <w:rPr>
          <w:rFonts w:ascii="Times New Roman" w:cs="Times New Roman" w:eastAsia="Times New Roman" w:hAnsi="Times New Roman"/>
          <w:sz w:val="18"/>
          <w:szCs w:val="18"/>
          <w:i w:val="1"/>
          <w:iCs w:val="1"/>
          <w:color w:val="auto"/>
        </w:rPr>
        <w:t>Senior Vice-President and Chief Financial Officer</w:t>
      </w:r>
    </w:p>
    <w:p>
      <w:pPr>
        <w:sectPr>
          <w:pgSz w:w="11900" w:h="16838" w:orient="portrait"/>
          <w:cols w:equalWidth="0" w:num="1">
            <w:col w:w="11200"/>
          </w:cols>
          <w:pgMar w:left="320" w:top="893" w:right="379" w:bottom="1440" w:gutter="0" w:footer="0" w:header="0"/>
        </w:sectPr>
      </w:pPr>
    </w:p>
    <w:bookmarkStart w:id="156" w:name="page157"/>
    <w:bookmarkEnd w:id="15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Incentive Compensation Recoupment Policy of Supernus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Supernus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it is in the best interests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stockholders to create and maintain a culture that emphasizes integrity and accountability and that reinforces the Company’s pay-for-performance compensation philosophy; and</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Nasdaq have adopted rules requiring the recoupment of certain erroneously awarded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compensation in the event the Company is required to prepare an accounting restatement under certain circumstances.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Board has adopted this Incentive Compensation Recoupment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recoup any bonuses and/or equity compensation awarded to a Covered Executive (as defined below)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under certain circumstances when such person engaged in fraud, intentional misconduct or gross negligence;</w:t>
      </w:r>
    </w:p>
    <w:p>
      <w:pPr>
        <w:spacing w:after="0" w:line="15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recoup from a Covered Executive any erroneously awarded incentive compensation that is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earned, or vested based wholly or in part upon the attainment of a Financial Reporting Measure (as defined below) under certain circumstances when the Company is required to prepare an accounting restatement; and</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Policy is not intended to limit the Covered Executives’ or vice presidents’ ability to make disclosures to, or initiate or participate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with, the EEOC, the NLRB, the Occupational Safety and Health Administration, the SEC or any other federal, state or local governmental agency or commission.</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Policy</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This Policy shall be administered by the Board or, if so designated by the Board, the Compensation Committee of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in which case references herein to the Board shall be deemed references to the Compensation Committee. Any determinations made by the Board shall be final and binding on all affected individuals. This Policy applies to the Company’s current and former Executive Officers (the “</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 and vice presidents.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Certain capitalized terms used in this Policy have the meanings ascribed to such terms in this section.</w:t>
      </w:r>
    </w:p>
    <w:p>
      <w:pPr>
        <w:spacing w:after="0" w:line="225" w:lineRule="exact"/>
        <w:rPr>
          <w:sz w:val="20"/>
          <w:szCs w:val="20"/>
          <w:color w:val="auto"/>
        </w:rPr>
      </w:pPr>
    </w:p>
    <w:p>
      <w:pPr>
        <w:ind w:left="1300" w:right="40" w:hanging="644"/>
        <w:spacing w:after="0" w:line="262" w:lineRule="auto"/>
        <w:tabs>
          <w:tab w:leader="none" w:pos="12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Erroneously awarded FRM-Based Incentive Compensation</w:t>
      </w:r>
      <w:r>
        <w:rPr>
          <w:rFonts w:ascii="Times New Roman" w:cs="Times New Roman" w:eastAsia="Times New Roman" w:hAnsi="Times New Roman"/>
          <w:sz w:val="18"/>
          <w:szCs w:val="18"/>
          <w:color w:val="auto"/>
        </w:rPr>
        <w:t>: For purposes of this Policy, “erroneously awarded FRM-Based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is the amount of FRM-Based Incentive Compensation received that exceeds the amount of FRM-Based Incentive Compensation that otherwise would have been received had it been determined based on the restated amounts, and shall be computed without regard to any taxes paid. For any FRM-Based Incentive Compensation based on stock price or TSR, where the amount of erroneously awarded FRM-Based Incentive Compensation is not subject to mathematical recalculation directly from the information in an accounting restatement:</w:t>
      </w:r>
    </w:p>
    <w:p>
      <w:pPr>
        <w:spacing w:after="0" w:line="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w:t>
      </w:r>
    </w:p>
    <w:p>
      <w:pPr>
        <w:spacing w:after="0" w:line="22" w:lineRule="exact"/>
        <w:rPr>
          <w:rFonts w:ascii="Times New Roman" w:cs="Times New Roman" w:eastAsia="Times New Roman" w:hAnsi="Times New Roman"/>
          <w:sz w:val="18"/>
          <w:szCs w:val="18"/>
          <w:color w:val="auto"/>
        </w:rPr>
      </w:pPr>
    </w:p>
    <w:p>
      <w:pPr>
        <w:ind w:left="1620" w:right="20" w:hanging="316"/>
        <w:spacing w:after="0" w:line="250" w:lineRule="auto"/>
        <w:tabs>
          <w:tab w:leader="none" w:pos="161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shall be based on a reasonable estimate of the effect of the accounting restatement on the stock price or TSR upon which the FRM-Based Incentive Compensation was received; and</w:t>
      </w:r>
    </w:p>
    <w:p>
      <w:pPr>
        <w:ind w:left="1620" w:right="140" w:hanging="316"/>
        <w:spacing w:after="0" w:line="260" w:lineRule="auto"/>
        <w:tabs>
          <w:tab w:leader="none" w:pos="1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documentation of the determination of that reasonable estimate and shall provide such documentation to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40120033.4</w:t>
      </w:r>
    </w:p>
    <w:p>
      <w:pPr>
        <w:sectPr>
          <w:pgSz w:w="11900" w:h="16838" w:orient="portrait"/>
          <w:cols w:equalWidth="0" w:num="1">
            <w:col w:w="11220"/>
          </w:cols>
          <w:pgMar w:left="320" w:top="1413" w:right="359" w:bottom="1440" w:gutter="0" w:footer="0" w:header="0"/>
        </w:sectPr>
      </w:pPr>
    </w:p>
    <w:bookmarkStart w:id="157" w:name="page158"/>
    <w:bookmarkEnd w:id="157"/>
    <w:p>
      <w:pPr>
        <w:ind w:left="1300"/>
        <w:spacing w:after="0"/>
        <w:rPr>
          <w:sz w:val="20"/>
          <w:szCs w:val="20"/>
          <w:color w:val="auto"/>
        </w:rPr>
      </w:pPr>
      <w:r>
        <w:rPr>
          <w:rFonts w:ascii="Calibri" w:cs="Calibri" w:eastAsia="Calibri" w:hAnsi="Calibri"/>
          <w:sz w:val="18"/>
          <w:szCs w:val="18"/>
          <w:color w:val="auto"/>
        </w:rPr>
        <w:t>(ii)</w:t>
      </w:r>
    </w:p>
    <w:p>
      <w:pPr>
        <w:spacing w:after="0" w:line="1" w:lineRule="exact"/>
        <w:rPr>
          <w:sz w:val="20"/>
          <w:szCs w:val="20"/>
          <w:color w:val="auto"/>
        </w:rPr>
      </w:pPr>
    </w:p>
    <w:p>
      <w:pPr>
        <w:ind w:left="1300" w:right="140" w:hanging="644"/>
        <w:spacing w:after="0" w:line="280" w:lineRule="auto"/>
        <w:tabs>
          <w:tab w:leader="none" w:pos="13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Executive Officers</w:t>
      </w:r>
      <w:r>
        <w:rPr>
          <w:rFonts w:ascii="Times New Roman" w:cs="Times New Roman" w:eastAsia="Times New Roman" w:hAnsi="Times New Roman"/>
          <w:sz w:val="17"/>
          <w:szCs w:val="17"/>
          <w:color w:val="auto"/>
        </w:rPr>
        <w:t>: For purposes of this Policy, “</w:t>
      </w:r>
      <w:r>
        <w:rPr>
          <w:rFonts w:ascii="Times New Roman" w:cs="Times New Roman" w:eastAsia="Times New Roman" w:hAnsi="Times New Roman"/>
          <w:sz w:val="17"/>
          <w:szCs w:val="17"/>
          <w:b w:val="1"/>
          <w:bCs w:val="1"/>
          <w:color w:val="auto"/>
        </w:rPr>
        <w:t>Executive Officers</w:t>
      </w:r>
      <w:r>
        <w:rPr>
          <w:rFonts w:ascii="Times New Roman" w:cs="Times New Roman" w:eastAsia="Times New Roman" w:hAnsi="Times New Roman"/>
          <w:sz w:val="17"/>
          <w:szCs w:val="17"/>
          <w:color w:val="auto"/>
        </w:rPr>
        <w:t>” means the Company’s president, principal financial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w:t>
      </w:r>
    </w:p>
    <w:p>
      <w:pPr>
        <w:spacing w:after="0" w:line="1" w:lineRule="exact"/>
        <w:rPr>
          <w:sz w:val="20"/>
          <w:szCs w:val="20"/>
          <w:color w:val="auto"/>
        </w:rPr>
      </w:pPr>
    </w:p>
    <w:p>
      <w:pPr>
        <w:ind w:left="1300" w:right="480"/>
        <w:spacing w:after="0" w:line="258" w:lineRule="auto"/>
        <w:rPr>
          <w:sz w:val="20"/>
          <w:szCs w:val="20"/>
          <w:color w:val="auto"/>
        </w:rPr>
      </w:pPr>
      <w:r>
        <w:rPr>
          <w:rFonts w:ascii="Times New Roman" w:cs="Times New Roman" w:eastAsia="Times New Roman" w:hAnsi="Times New Roman"/>
          <w:sz w:val="18"/>
          <w:szCs w:val="18"/>
          <w:color w:val="auto"/>
        </w:rPr>
        <w:t>subsidiaries are deemed executive officers of the Company if they perform such policy making functions for the Company. Policy-making function is not intended to include policy-making functions that are not significant.</w:t>
      </w:r>
    </w:p>
    <w:p>
      <w:pPr>
        <w:ind w:left="1300"/>
        <w:spacing w:after="0" w:line="225" w:lineRule="auto"/>
        <w:rPr>
          <w:sz w:val="20"/>
          <w:szCs w:val="20"/>
          <w:color w:val="auto"/>
        </w:rPr>
      </w:pPr>
      <w:r>
        <w:rPr>
          <w:rFonts w:ascii="Calibri" w:cs="Calibri" w:eastAsia="Calibri" w:hAnsi="Calibri"/>
          <w:sz w:val="18"/>
          <w:szCs w:val="18"/>
          <w:color w:val="auto"/>
        </w:rPr>
        <w:t>(iv)</w:t>
      </w:r>
    </w:p>
    <w:p>
      <w:pPr>
        <w:ind w:left="1300" w:right="20" w:hanging="644"/>
        <w:spacing w:after="0" w:line="211" w:lineRule="auto"/>
        <w:tabs>
          <w:tab w:leader="none" w:pos="129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For purposes of this Policy, “</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any measure that is determined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in accordance with the accounting principles used in preparing the Company’s financial statements, and any measure derived wholly or in part from such measure, irrespective of whether presented within the financial statements or included in a filing with the SEC, including, without limitation, and as applicable, any measure in respect of the following: (i) revenues; (ii) net income; (iii) operating income; (iv) profitability of one or more reportable segments; (v) financial ratios (e.g., accounts receivable turnover and inventory turnover rates; (vi) earnings before interest, taxes, depreciation and amortization; (vii) funds from operations and adjusted funds from operations; (viii) liquidity (e.g., working capital, operating cash flow), (ix) return (e.g., return on invested capital, return on assets), (x) earnings per share; (xi) stock price; (xii) total shareholder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whether relative or absolute; (xiii) tax basis</w:t>
      </w:r>
    </w:p>
    <w:p>
      <w:pPr>
        <w:ind w:left="1300" w:right="280"/>
        <w:spacing w:after="0" w:line="211" w:lineRule="auto"/>
        <w:rPr>
          <w:sz w:val="20"/>
          <w:szCs w:val="20"/>
          <w:color w:val="auto"/>
        </w:rPr>
      </w:pPr>
      <w:r>
        <w:rPr>
          <w:rFonts w:ascii="Times New Roman" w:cs="Times New Roman" w:eastAsia="Times New Roman" w:hAnsi="Times New Roman"/>
          <w:sz w:val="18"/>
          <w:szCs w:val="18"/>
          <w:color w:val="auto"/>
        </w:rPr>
        <w:t>income; or (xiv) a measure determined by the SEC to be a Financial Reporting Measure for purposes of Section 10D of the Securities Exchange Act of 1934, as amended and Rule 10D-1 promulgated thereunder.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7" w:lineRule="exact"/>
        <w:rPr>
          <w:sz w:val="20"/>
          <w:szCs w:val="20"/>
          <w:color w:val="auto"/>
        </w:rPr>
      </w:pPr>
    </w:p>
    <w:p>
      <w:pPr>
        <w:ind w:left="1300" w:right="100" w:hanging="644"/>
        <w:spacing w:after="0" w:line="276" w:lineRule="auto"/>
        <w:tabs>
          <w:tab w:leader="none" w:pos="129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FRM-Based Incentive Compensation</w:t>
      </w:r>
      <w:r>
        <w:rPr>
          <w:rFonts w:ascii="Times New Roman" w:cs="Times New Roman" w:eastAsia="Times New Roman" w:hAnsi="Times New Roman"/>
          <w:sz w:val="18"/>
          <w:szCs w:val="18"/>
          <w:color w:val="auto"/>
        </w:rPr>
        <w:t>: For purposes of this Policy, “</w:t>
      </w:r>
      <w:r>
        <w:rPr>
          <w:rFonts w:ascii="Times New Roman" w:cs="Times New Roman" w:eastAsia="Times New Roman" w:hAnsi="Times New Roman"/>
          <w:sz w:val="18"/>
          <w:szCs w:val="18"/>
          <w:b w:val="1"/>
          <w:bCs w:val="1"/>
          <w:color w:val="auto"/>
        </w:rPr>
        <w:t>FRM-Based Incentive Compensation</w:t>
      </w:r>
      <w:r>
        <w:rPr>
          <w:rFonts w:ascii="Times New Roman" w:cs="Times New Roman" w:eastAsia="Times New Roman" w:hAnsi="Times New Roman"/>
          <w:sz w:val="18"/>
          <w:szCs w:val="18"/>
          <w:color w:val="auto"/>
        </w:rPr>
        <w:t>” means any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granted, earned, or vested based wholly or in part upon the attainment of a Financial Reporting Measure.</w:t>
      </w:r>
    </w:p>
    <w:p>
      <w:pPr>
        <w:spacing w:after="0" w:line="203" w:lineRule="exact"/>
        <w:rPr>
          <w:rFonts w:ascii="Times New Roman" w:cs="Times New Roman" w:eastAsia="Times New Roman" w:hAnsi="Times New Roman"/>
          <w:sz w:val="18"/>
          <w:szCs w:val="18"/>
          <w:color w:val="auto"/>
        </w:rPr>
      </w:pPr>
    </w:p>
    <w:p>
      <w:pPr>
        <w:ind w:left="1300" w:right="460" w:hanging="644"/>
        <w:spacing w:after="0" w:line="263" w:lineRule="auto"/>
        <w:tabs>
          <w:tab w:leader="none" w:pos="129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Incentive Compensation</w:t>
      </w:r>
      <w:r>
        <w:rPr>
          <w:rFonts w:ascii="Times New Roman" w:cs="Times New Roman" w:eastAsia="Times New Roman" w:hAnsi="Times New Roman"/>
          <w:sz w:val="18"/>
          <w:szCs w:val="18"/>
          <w:color w:val="auto"/>
        </w:rPr>
        <w:t>: For purposes of this Policy, “</w:t>
      </w:r>
      <w:r>
        <w:rPr>
          <w:rFonts w:ascii="Times New Roman" w:cs="Times New Roman" w:eastAsia="Times New Roman" w:hAnsi="Times New Roman"/>
          <w:sz w:val="18"/>
          <w:szCs w:val="18"/>
          <w:b w:val="1"/>
          <w:bCs w:val="1"/>
          <w:color w:val="auto"/>
        </w:rPr>
        <w:t>Other Incentive Compensation</w:t>
      </w:r>
      <w:r>
        <w:rPr>
          <w:rFonts w:ascii="Times New Roman" w:cs="Times New Roman" w:eastAsia="Times New Roman" w:hAnsi="Times New Roman"/>
          <w:sz w:val="18"/>
          <w:szCs w:val="18"/>
          <w:color w:val="auto"/>
        </w:rPr>
        <w:t>” means any bonuses and/or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awarded to a Covered Executive or vice president.</w:t>
      </w:r>
    </w:p>
    <w:p>
      <w:pPr>
        <w:ind w:left="1300"/>
        <w:spacing w:after="0" w:line="225" w:lineRule="auto"/>
        <w:rPr>
          <w:rFonts w:ascii="Times New Roman" w:cs="Times New Roman" w:eastAsia="Times New Roman" w:hAnsi="Times New Roman"/>
          <w:sz w:val="18"/>
          <w:szCs w:val="18"/>
          <w:color w:val="auto"/>
        </w:rPr>
      </w:pPr>
      <w:r>
        <w:rPr>
          <w:rFonts w:ascii="Calibri" w:cs="Calibri" w:eastAsia="Calibri" w:hAnsi="Calibri"/>
          <w:sz w:val="18"/>
          <w:szCs w:val="18"/>
          <w:color w:val="auto"/>
        </w:rPr>
        <w:t>(vii)</w:t>
      </w:r>
    </w:p>
    <w:p>
      <w:pPr>
        <w:ind w:left="1300" w:hanging="644"/>
        <w:spacing w:after="0" w:line="228" w:lineRule="auto"/>
        <w:tabs>
          <w:tab w:leader="none" w:pos="129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For purposes of this Policy,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period of a Covered Executive’s service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and/or the measurement period for the attainment of the applicable Financial Reporting Measure(s) on which the grant, earning or vesting of the applicable FRM-Based Incentive Compensation is based.</w:t>
      </w:r>
    </w:p>
    <w:p>
      <w:pPr>
        <w:spacing w:after="0" w:line="19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Discretionary Recoupment</w:t>
      </w:r>
      <w:r>
        <w:rPr>
          <w:rFonts w:ascii="Times New Roman" w:cs="Times New Roman" w:eastAsia="Times New Roman" w:hAnsi="Times New Roman"/>
          <w:sz w:val="18"/>
          <w:szCs w:val="18"/>
          <w:color w:val="auto"/>
        </w:rPr>
        <w:t>: In the event that (a) the Board determines that a Covered Executive or vice president engaged in fraud, intentional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misconduct or gross negligence, and (b) such fraud or intentional misconduct resulted in an incorrect determination that an Other Incentive Compensation performance goal had been achieved, then the Board may take appropriate action to recover from such Covered Executive or vice president any Other Incentive Compensation resulting from such incorrect determination. The Company may recoup Other Incentive Compensation paid to the Covered Executive or vice president who engaged in the fraud, intentional misconduct or gross negligence to the extent it was based on such incorrect determination, as determined by the Board.</w:t>
      </w:r>
    </w:p>
    <w:p>
      <w:pPr>
        <w:spacing w:after="0" w:line="20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color w:val="auto"/>
        </w:rPr>
        <w:t>Mandatory Recoupment</w:t>
      </w:r>
      <w:r>
        <w:rPr>
          <w:rFonts w:ascii="Times New Roman" w:cs="Times New Roman" w:eastAsia="Times New Roman" w:hAnsi="Times New Roman"/>
          <w:sz w:val="18"/>
          <w:szCs w:val="18"/>
          <w:color w:val="auto"/>
        </w:rPr>
        <w:t>: In the event that the Company is required to prepare an accounting restatement due to the material noncompliance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then the Company will reasonably promptly take appropriate action to recover all erroneously awarded FRM-Based Incentive Compensation received by a person:</w:t>
      </w:r>
    </w:p>
    <w:p>
      <w:pPr>
        <w:spacing w:after="0" w:line="170"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beginning service as an Executive Officer;</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40120033.4</w:t>
      </w:r>
    </w:p>
    <w:p>
      <w:pPr>
        <w:sectPr>
          <w:pgSz w:w="11900" w:h="16838" w:orient="portrait"/>
          <w:cols w:equalWidth="0" w:num="1">
            <w:col w:w="11200"/>
          </w:cols>
          <w:pgMar w:left="320" w:top="1408" w:right="379" w:bottom="1440" w:gutter="0" w:footer="0" w:header="0"/>
        </w:sectPr>
      </w:pPr>
    </w:p>
    <w:bookmarkStart w:id="158" w:name="page159"/>
    <w:bookmarkEnd w:id="158"/>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served as an Executive Officer at any time during the Performance Period for the FRM-Based Incentive Compensation;</w:t>
      </w:r>
    </w:p>
    <w:p>
      <w:pPr>
        <w:spacing w:after="0" w:line="27" w:lineRule="exact"/>
        <w:rPr>
          <w:rFonts w:ascii="Times New Roman" w:cs="Times New Roman" w:eastAsia="Times New Roman" w:hAnsi="Times New Roman"/>
          <w:sz w:val="18"/>
          <w:szCs w:val="18"/>
          <w:color w:val="auto"/>
        </w:rPr>
      </w:pPr>
    </w:p>
    <w:p>
      <w:pPr>
        <w:ind w:left="1300"/>
        <w:spacing w:after="0" w:line="225" w:lineRule="auto"/>
        <w:rPr>
          <w:rFonts w:ascii="Times New Roman" w:cs="Times New Roman" w:eastAsia="Times New Roman" w:hAnsi="Times New Roman"/>
          <w:sz w:val="18"/>
          <w:szCs w:val="18"/>
          <w:color w:val="auto"/>
        </w:rPr>
      </w:pPr>
      <w:r>
        <w:rPr>
          <w:rFonts w:ascii="Calibri" w:cs="Calibri" w:eastAsia="Calibri" w:hAnsi="Calibri"/>
          <w:sz w:val="18"/>
          <w:szCs w:val="18"/>
          <w:color w:val="auto"/>
        </w:rPr>
        <w:t>(ix)</w:t>
      </w:r>
    </w:p>
    <w:p>
      <w:pPr>
        <w:spacing w:after="0" w:line="5"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a national securities exchange or a national securities association;</w:t>
      </w:r>
    </w:p>
    <w:p>
      <w:pPr>
        <w:spacing w:after="0" w:line="252" w:lineRule="exact"/>
        <w:rPr>
          <w:rFonts w:ascii="Times New Roman" w:cs="Times New Roman" w:eastAsia="Times New Roman" w:hAnsi="Times New Roman"/>
          <w:sz w:val="18"/>
          <w:szCs w:val="18"/>
          <w:color w:val="auto"/>
        </w:rPr>
      </w:pPr>
    </w:p>
    <w:p>
      <w:pPr>
        <w:ind w:left="1300" w:right="840" w:hanging="644"/>
        <w:spacing w:after="0" w:line="297" w:lineRule="auto"/>
        <w:tabs>
          <w:tab w:leader="none" w:pos="129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that the Company is required to prepare an accounting restatement as described under the heading “Recoupment; Accounting Restatement” herein; and</w:t>
      </w:r>
    </w:p>
    <w:p>
      <w:pPr>
        <w:spacing w:after="0" w:line="189" w:lineRule="exact"/>
        <w:rPr>
          <w:rFonts w:ascii="Times New Roman" w:cs="Times New Roman" w:eastAsia="Times New Roman" w:hAnsi="Times New Roman"/>
          <w:sz w:val="18"/>
          <w:szCs w:val="18"/>
          <w:color w:val="auto"/>
        </w:rPr>
      </w:pPr>
    </w:p>
    <w:p>
      <w:pPr>
        <w:ind w:left="1300" w:right="260" w:hanging="644"/>
        <w:spacing w:after="0" w:line="271" w:lineRule="auto"/>
        <w:tabs>
          <w:tab w:leader="none" w:pos="12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transition period (that results from a change in the Company’s fiscal year) within or immediately following the three completed fiscal years referenced in clause (iv). For the avoidance of doubt, a transition period between the last day of the Company’s previous fiscal year end and the first day of its new fiscal year that comprises a period of nine to 12 months would be deemed a completed fiscal year.</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purposes of determining the relevant recovery period under clause (iv) above, the date that the Company is required to prepare an accounting restatement is the earlier to occur of (A) the date the Board, the Audit Committee, or the officer or officers of the Company authorized to take such action if Board action is not required, concludes, or reasonably should have concluded, that the Company is required to prepare an accounting restatement as described above or (B) the date a court, regulator, or other legally authorized body directs the Company to prepare an accounting restatement as described above.</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purposes of this Policy, FRM-Based Incentive Compensation shall be deemed “received” in the Company’s fiscal period during which the Financial Reporting Measure specified in the FRM-Based Incentive Compensation award is attained, even if the payment or grant of the FRM-Based Incentive Compensation occurs after the end of that period.</w:t>
      </w:r>
    </w:p>
    <w:p>
      <w:pPr>
        <w:spacing w:after="0" w:line="176" w:lineRule="exact"/>
        <w:rPr>
          <w:sz w:val="20"/>
          <w:szCs w:val="20"/>
          <w:color w:val="auto"/>
        </w:rPr>
      </w:pPr>
    </w:p>
    <w:p>
      <w:pPr>
        <w:ind w:left="1300" w:right="20" w:hanging="644"/>
        <w:spacing w:after="0" w:line="253" w:lineRule="auto"/>
        <w:tabs>
          <w:tab w:leader="none" w:pos="129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required by this Policy to recover erroneously awarded FRM-Based Incentive Compensation, the Company shall do so except to the extent that the conditions set forth below are met and the Company’s Compensation Committee or a majority of the independent directors serving on the Board has made a determination that recovery would be impracticable. The direct expense paid to a third party to assist in enforcing this Policy would exceed the amount to be recovered. Before concluding that it would be impracticable to recover any amount of erroneously awarded FRM-Based Incentive Compensation based on the expense of enforcement, the Company shall make a reasonable attempt to recover such erroneously awarded FRM-Based Incentive Compensation, document such reasonable attempt(s) to recover, and provide that documentation to NASDAQ.</w:t>
      </w:r>
    </w:p>
    <w:p>
      <w:pPr>
        <w:spacing w:after="0" w:line="2" w:lineRule="exact"/>
        <w:rPr>
          <w:rFonts w:ascii="Times New Roman" w:cs="Times New Roman" w:eastAsia="Times New Roman" w:hAnsi="Times New Roman"/>
          <w:sz w:val="18"/>
          <w:szCs w:val="18"/>
          <w:color w:val="auto"/>
        </w:rPr>
      </w:pPr>
    </w:p>
    <w:p>
      <w:pPr>
        <w:ind w:left="1300"/>
        <w:spacing w:after="0" w:line="210" w:lineRule="auto"/>
        <w:rPr>
          <w:rFonts w:ascii="Times New Roman" w:cs="Times New Roman" w:eastAsia="Times New Roman" w:hAnsi="Times New Roman"/>
          <w:sz w:val="18"/>
          <w:szCs w:val="18"/>
          <w:color w:val="auto"/>
        </w:rPr>
      </w:pPr>
      <w:r>
        <w:rPr>
          <w:rFonts w:ascii="Calibri" w:cs="Calibri" w:eastAsia="Calibri" w:hAnsi="Calibri"/>
          <w:sz w:val="18"/>
          <w:szCs w:val="18"/>
          <w:color w:val="auto"/>
        </w:rPr>
        <w:t>(ii)</w:t>
      </w:r>
    </w:p>
    <w:p>
      <w:pPr>
        <w:spacing w:after="0" w:line="5" w:lineRule="exact"/>
        <w:rPr>
          <w:sz w:val="20"/>
          <w:szCs w:val="20"/>
          <w:color w:val="auto"/>
        </w:rPr>
      </w:pPr>
    </w:p>
    <w:p>
      <w:pPr>
        <w:ind w:left="1300" w:right="160" w:hanging="644"/>
        <w:spacing w:after="0" w:line="261"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Before concluding that it would be impracticable to recover any amount of erroneously awarded FRM-Based Incentive Compensation based on violation of home country law, the Company shall obtain an opinion of home country counsel, acceptable to NASDAQ, that recovery would result in such a violation, and shall provide such opinion to NASDAQ.</w:t>
      </w:r>
    </w:p>
    <w:p>
      <w:pPr>
        <w:spacing w:after="0" w:line="206"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registrant, to fail to meet the requirements of 26 U.S.C. 401(a)(13) or 26 U.S.C. 411(a)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indemnify any Covered Executive against the loss of erroneously awarded FRM-Based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40120033.4</w:t>
      </w:r>
    </w:p>
    <w:p>
      <w:pPr>
        <w:sectPr>
          <w:pgSz w:w="11900" w:h="16838" w:orient="portrait"/>
          <w:cols w:equalWidth="0" w:num="1">
            <w:col w:w="11220"/>
          </w:cols>
          <w:pgMar w:left="320" w:top="1417" w:right="359" w:bottom="1440" w:gutter="0" w:footer="0" w:header="0"/>
        </w:sectPr>
      </w:pPr>
    </w:p>
    <w:bookmarkStart w:id="159" w:name="page160"/>
    <w:bookmarkEnd w:id="159"/>
    <w:p>
      <w:pPr>
        <w:ind w:right="140"/>
        <w:spacing w:after="0" w:line="282" w:lineRule="auto"/>
        <w:rPr>
          <w:sz w:val="20"/>
          <w:szCs w:val="20"/>
          <w:color w:val="auto"/>
        </w:rPr>
      </w:pPr>
      <w:r>
        <w:rPr>
          <w:rFonts w:ascii="Times New Roman" w:cs="Times New Roman" w:eastAsia="Times New Roman" w:hAnsi="Times New Roman"/>
          <w:sz w:val="18"/>
          <w:szCs w:val="18"/>
          <w:color w:val="auto"/>
        </w:rPr>
        <w:t>For the avoidance of doubt, FRM-Based Incentive Compensation that is based wholly or in part upon relative TSR is not subject to recoupment under this Policy as a result of accounting restatements by other issuers in the relevant peer group.</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avoidance of doubt, the Company’s authority to recoup Other Incentive Compensation as described herein under the heading “Discretionary Recoupment” is separate and distinct from the requirement that it recover all erroneously awarded FRM-Based Incentive Compensation as described herein under the heading “Mandatory Recoupment”.</w:t>
      </w:r>
    </w:p>
    <w:p>
      <w:pPr>
        <w:spacing w:after="0" w:line="17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Method of Recoupment</w:t>
      </w:r>
      <w:r>
        <w:rPr>
          <w:rFonts w:ascii="Times New Roman" w:cs="Times New Roman" w:eastAsia="Times New Roman" w:hAnsi="Times New Roman"/>
          <w:sz w:val="18"/>
          <w:szCs w:val="18"/>
          <w:color w:val="auto"/>
        </w:rPr>
        <w:t>: The Board will determine, in its sole and absolute discretion, the method for recouping FRM-Based Incentive Compensation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Incentive Compensation hereunder, which may include, without limitation: (a) requiring reimbursement of cash FRM-Based Incentive Compensation or Other Incentive Compensation previously paid; (b) seeking recovery of any gain realized on the vesting, exercise, settlement, sale, transfer or other disposition of any equity-based awards; (c) offsetting the recouped amount from any compensation otherwise owed by the Company to the Covered Executive or vice president; (d) cancelling outstanding vested or unvested equity awards; or (e) taking any other remedial or recovery action permitted by law or in equity, as determined by the Board.</w:t>
      </w:r>
    </w:p>
    <w:p>
      <w:pPr>
        <w:spacing w:after="0" w:line="18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Policy applies to FRM-Based Incentive Compensated and Other Incentive Compensation received (in accordance with the rules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above) on or after October 2, ,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Termination</w:t>
      </w:r>
      <w:r>
        <w:rPr>
          <w:rFonts w:ascii="Times New Roman" w:cs="Times New Roman" w:eastAsia="Times New Roman" w:hAnsi="Times New Roman"/>
          <w:sz w:val="18"/>
          <w:szCs w:val="18"/>
          <w:color w:val="auto"/>
        </w:rPr>
        <w:t>: The Board may amend or terminate this Policy at any time.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Other Recoupment Rights</w:t>
      </w:r>
      <w:r>
        <w:rPr>
          <w:rFonts w:ascii="Times New Roman" w:cs="Times New Roman" w:eastAsia="Times New Roman" w:hAnsi="Times New Roman"/>
          <w:sz w:val="18"/>
          <w:szCs w:val="18"/>
          <w:color w:val="auto"/>
        </w:rPr>
        <w:t>: The Board may require that (i) any employment agreement, equity award agreement or similar agreement entered into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Effective Date shall, as a condition to the grant of any benefit thereunder, require a Covered Executive or vice president to agree to abide by the terms of this Policy and/or (ii) any Covered Executive or vice president sign an acknowledgement of this Policy, in such form as the Board, in its sole and absolute discretion, deems appropriate, as of the later of the Effective Date or the date as of which such Covered Executive or vice president commences service to the Company in such capacity and/or as of the adoption of any amendment to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 Nothing herein shall preclude the Company from pursuing any action permitted by law or in equity against a Covered Executive or vice president who engages in fraud, intentional misconduct or gross negligence which does not involve a restatement of financial results.</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Policy shall be binding and enforceable against all Covered Executives, vice presidents and their beneficiaries, heirs,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or other legal representatives.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of Directors on November 1, 2023 and ratified by the Compensation Committee on November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40120033.4</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lvl w:ilvl="1">
      <w:lvlJc w:val="left"/>
      <w:lvlText w:val="◦"/>
      <w:numFmt w:val="bullet"/>
      <w:start w:val="1"/>
    </w:lvl>
  </w:abstractNum>
  <w:abstractNum w:abstractNumId="4">
    <w:nsid w:val="684A481A"/>
    <w:multiLevelType w:val="hybridMultilevel"/>
    <w:lvl w:ilvl="0">
      <w:lvlJc w:val="left"/>
      <w:lvlText w:val="%1)"/>
      <w:numFmt w:val="decimal"/>
      <w:start w:val="820"/>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decimal"/>
      <w:start w:val="2"/>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1)"/>
      <w:numFmt w:val="lowerLetter"/>
      <w:start w:val="1"/>
    </w:lvl>
  </w:abstractNum>
  <w:abstractNum w:abstractNumId="55">
    <w:nsid w:val="540A471C"/>
    <w:multiLevelType w:val="hybridMultilevel"/>
    <w:lvl w:ilvl="0">
      <w:lvlJc w:val="left"/>
      <w:lvlText w:val="%1."/>
      <w:numFmt w:val="decimal"/>
      <w:start w:val="2"/>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1."/>
      <w:numFmt w:val="decimal"/>
      <w:start w:val="2"/>
    </w:lvl>
    <w:lvl w:ilvl="1">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1."/>
      <w:numFmt w:val="decimal"/>
      <w:start w:val="6"/>
    </w:lvl>
    <w:lvl w:ilvl="1">
      <w:lvlJc w:val="left"/>
      <w:lvlText w:val="•"/>
      <w:numFmt w:val="bullet"/>
      <w:start w:val="1"/>
    </w:lvl>
  </w:abstractNum>
  <w:abstractNum w:abstractNumId="64">
    <w:nsid w:val="1A32234B"/>
    <w:multiLevelType w:val="hybridMultilevel"/>
    <w:lvl w:ilvl="0">
      <w:lvlJc w:val="left"/>
      <w:lvlText w:val="(%1)"/>
      <w:numFmt w:val="decimal"/>
      <w:start w:val="2"/>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lowerLetter"/>
      <w:start w:val="1"/>
    </w:lvl>
  </w:abstractNum>
  <w:abstractNum w:abstractNumId="67">
    <w:nsid w:val="4962813B"/>
    <w:multiLevelType w:val="hybridMultilevel"/>
    <w:lvl w:ilvl="0">
      <w:lvlJc w:val="left"/>
      <w:lvlText w:val="(%1)"/>
      <w:numFmt w:val="decimal"/>
      <w:start w:val="1"/>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decimal"/>
      <w:start w:val="19"/>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1)"/>
      <w:numFmt w:val="decimal"/>
      <w:start w:val="5"/>
    </w:lvl>
  </w:abstractNum>
  <w:abstractNum w:abstractNumId="77">
    <w:nsid w:val="6F6DD9A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8">
    <w:nsid w:val="9421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9">
    <w:nsid w:val="885E1B"/>
    <w:multiLevelType w:val="hybridMultilevel"/>
    <w:lvl w:ilvl="0">
      <w:lvlJc w:val="left"/>
      <w:lvlText w:val="%1."/>
      <w:numFmt w:val="decimal"/>
      <w:start w:val="1"/>
    </w:lvl>
    <w:lvl w:ilvl="1">
      <w:lvlJc w:val="left"/>
      <w:lvlText w:val="(%2)"/>
      <w:numFmt w:val="lowerLetter"/>
      <w:start w:val="1"/>
    </w:lvl>
  </w:abstractNum>
  <w:abstractNum w:abstractNumId="80">
    <w:nsid w:val="76272110"/>
    <w:multiLevelType w:val="hybridMultilevel"/>
    <w:lvl w:ilvl="0">
      <w:lvlJc w:val="left"/>
      <w:lvlText w:val="%1."/>
      <w:numFmt w:val="decimal"/>
      <w:start w:val="1"/>
    </w:lvl>
    <w:lvl w:ilvl="1">
      <w:lvlJc w:val="left"/>
      <w:lvlText w:val="(%2)"/>
      <w:numFmt w:val="lowerLetter"/>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1"/>
    </w:lvl>
  </w:abstractNum>
  <w:abstractNum w:abstractNumId="83">
    <w:nsid w:val="14E17E33"/>
    <w:multiLevelType w:val="hybridMultilevel"/>
    <w:lvl w:ilvl="0">
      <w:lvlJc w:val="left"/>
      <w:lvlText w:val="(%1)"/>
      <w:numFmt w:val="lowerRoman"/>
      <w:start w:val="1"/>
    </w:lvl>
    <w:lvl w:ilvl="1">
      <w:lvlJc w:val="left"/>
      <w:lvlText w:val="%2."/>
      <w:numFmt w:val="lowerLetter"/>
      <w:start w:val="1"/>
    </w:lvl>
  </w:abstractNum>
  <w:abstractNum w:abstractNumId="84">
    <w:nsid w:val="3222E7CD"/>
    <w:multiLevelType w:val="hybridMultilevel"/>
    <w:lvl w:ilvl="0">
      <w:lvlJc w:val="left"/>
      <w:lvlText w:val="(%1)"/>
      <w:numFmt w:val="lowerRoman"/>
      <w:start w:val="3"/>
    </w:lvl>
  </w:abstractNum>
  <w:abstractNum w:abstractNumId="85">
    <w:nsid w:val="74DE0EE3"/>
    <w:multiLevelType w:val="hybridMultilevel"/>
    <w:lvl w:ilvl="0">
      <w:lvlJc w:val="left"/>
      <w:lvlText w:val="(%1)"/>
      <w:numFmt w:val="lowerRoman"/>
      <w:start w:val="2"/>
    </w:lvl>
  </w:abstractNum>
  <w:abstractNum w:abstractNumId="86">
    <w:nsid w:val="68EBC550"/>
    <w:multiLevelType w:val="hybridMultilevel"/>
    <w:lvl w:ilvl="0">
      <w:lvlJc w:val="left"/>
      <w:lvlText w:val="(%1)"/>
      <w:numFmt w:val="lowerRoman"/>
      <w:start w:val="5"/>
    </w:lvl>
  </w:abstractNum>
  <w:abstractNum w:abstractNumId="87">
    <w:nsid w:val="2DF6D648"/>
    <w:multiLevelType w:val="hybridMultilevel"/>
    <w:lvl w:ilvl="0">
      <w:lvlJc w:val="left"/>
      <w:lvlText w:val="(%1)"/>
      <w:numFmt w:val="lowerRoman"/>
      <w:start w:val="4"/>
    </w:lvl>
  </w:abstractNum>
  <w:abstractNum w:abstractNumId="88">
    <w:nsid w:val="46B7D447"/>
    <w:multiLevelType w:val="hybridMultilevel"/>
    <w:lvl w:ilvl="0">
      <w:lvlJc w:val="left"/>
      <w:lvlText w:val="(%1)"/>
      <w:numFmt w:val="lowerRoman"/>
      <w:start w:val="1"/>
    </w:lvl>
  </w:abstractNum>
  <w:abstractNum w:abstractNumId="89">
    <w:nsid w:val="4A2AC315"/>
    <w:multiLevelType w:val="hybridMultilevel"/>
    <w:lvl w:ilvl="0">
      <w:lvlJc w:val="left"/>
      <w:lvlText w:val="(%1)"/>
      <w:numFmt w:val="lowerRoman"/>
      <w:start w:val="8"/>
    </w:lvl>
  </w:abstractNum>
  <w:abstractNum w:abstractNumId="90">
    <w:nsid w:val="39EE015C"/>
    <w:multiLevelType w:val="hybridMultilevel"/>
    <w:lvl w:ilvl="0">
      <w:lvlJc w:val="left"/>
      <w:lvlText w:val="(%1)"/>
      <w:numFmt w:val="lowerRoman"/>
      <w:start w:val="10"/>
    </w:lvl>
  </w:abstractNum>
  <w:abstractNum w:abstractNumId="91">
    <w:nsid w:val="57FC4FBB"/>
    <w:multiLevelType w:val="hybridMultilevel"/>
    <w:lvl w:ilvl="0">
      <w:lvlJc w:val="left"/>
      <w:lvlText w:val="(%1)"/>
      <w:numFmt w:val="lowerRoman"/>
      <w:start w:val="1"/>
    </w:lvl>
  </w:abstractNum>
  <w:abstractNum w:abstractNumId="92">
    <w:nsid w:val="CC1016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47" Type="http://schemas.openxmlformats.org/officeDocument/2006/relationships/image" Target="media/image202.png"/><Relationship Id="rId262" Type="http://schemas.openxmlformats.org/officeDocument/2006/relationships/image" Target="media/image203.png"/><Relationship Id="rId263" Type="http://schemas.openxmlformats.org/officeDocument/2006/relationships/image" Target="media/image204.png"/><Relationship Id="rId264" Type="http://schemas.openxmlformats.org/officeDocument/2006/relationships/image" Target="media/image205.png"/><Relationship Id="rId265" Type="http://schemas.openxmlformats.org/officeDocument/2006/relationships/image" Target="media/image206.png"/><Relationship Id="rId272" Type="http://schemas.openxmlformats.org/officeDocument/2006/relationships/image" Target="media/image207.png"/><Relationship Id="rId273" Type="http://schemas.openxmlformats.org/officeDocument/2006/relationships/image" Target="media/image208.png"/><Relationship Id="rId274" Type="http://schemas.openxmlformats.org/officeDocument/2006/relationships/image" Target="media/image209.png"/><Relationship Id="rId275" Type="http://schemas.openxmlformats.org/officeDocument/2006/relationships/image" Target="media/image210.png"/><Relationship Id="rId276" Type="http://schemas.openxmlformats.org/officeDocument/2006/relationships/image" Target="media/image211.jpeg"/><Relationship Id="rId277" Type="http://schemas.openxmlformats.org/officeDocument/2006/relationships/image" Target="media/image212.png"/><Relationship Id="rId278" Type="http://schemas.openxmlformats.org/officeDocument/2006/relationships/image" Target="media/image213.png"/><Relationship Id="rId279" Type="http://schemas.openxmlformats.org/officeDocument/2006/relationships/image" Target="media/image214.png"/><Relationship Id="rId280" Type="http://schemas.openxmlformats.org/officeDocument/2006/relationships/image" Target="media/image215.png"/><Relationship Id="rId281" Type="http://schemas.openxmlformats.org/officeDocument/2006/relationships/image" Target="media/image216.png"/><Relationship Id="rId203" Type="http://schemas.openxmlformats.org/officeDocument/2006/relationships/hyperlink" Target="https://www.sec.gov/Archives/edgar/data/1356576/000110465918067217/a18-19039_1ex2d1.htm" TargetMode="External"/><Relationship Id="rId204" Type="http://schemas.openxmlformats.org/officeDocument/2006/relationships/hyperlink" Target="https://www.sec.gov/Archives/edgar/data/1356576/000135657620000054/supn-20200630x10xqxex21.htm" TargetMode="External"/><Relationship Id="rId205" Type="http://schemas.openxmlformats.org/officeDocument/2006/relationships/hyperlink" Target="https://www.sec.gov/Archives/edgar/data/1356576/000110465921125026/tm2129753d1_ex2-1.htm" TargetMode="External"/><Relationship Id="rId206" Type="http://schemas.openxmlformats.org/officeDocument/2006/relationships/hyperlink" Target="https://www.sec.gov/Archives/edgar/data/1356576/000104746912010489/a2211796zex-3_1.htm" TargetMode="External"/><Relationship Id="rId207" Type="http://schemas.openxmlformats.org/officeDocument/2006/relationships/hyperlink" Target="https://www.sec.gov/Archives/edgar/data/1356576/000104746912010750/a2211879zex-3_2.htm" TargetMode="External"/><Relationship Id="rId208" Type="http://schemas.openxmlformats.org/officeDocument/2006/relationships/hyperlink" Target="https://www.sec.gov/Archives/edgar/data/1356576/000104746912002789/a2207731zex-4_1.htm" TargetMode="External"/><Relationship Id="rId209" Type="http://schemas.openxmlformats.org/officeDocument/2006/relationships/hyperlink" Target="https://www.sec.gov/Archives/edgar/data/1356576/000104746910010575/a2201368zex-10_2.htm" TargetMode="External"/><Relationship Id="rId210" Type="http://schemas.openxmlformats.org/officeDocument/2006/relationships/hyperlink" Target="https://www.sec.gov/Archives/edgar/data/1356576/000104746910010575/a2201368zex-10_4.htm" TargetMode="External"/><Relationship Id="rId211" Type="http://schemas.openxmlformats.org/officeDocument/2006/relationships/hyperlink" Target="https://www.sec.gov/Archives/edgar/data/0001356576/000135657621000028/supn-20201231xex109.htm" TargetMode="External"/><Relationship Id="rId212" Type="http://schemas.openxmlformats.org/officeDocument/2006/relationships/hyperlink" Target="https://www.sec.gov/Archives/edgar/data/1356576/000135657621000028/supn-20201231xex1010.htm" TargetMode="External"/><Relationship Id="rId213" Type="http://schemas.openxmlformats.org/officeDocument/2006/relationships/hyperlink" Target="https://www.sec.gov/Archives/edgar/data/1356576/000135657621000028/supn-20201231xex1011.htm" TargetMode="External"/><Relationship Id="rId214" Type="http://schemas.openxmlformats.org/officeDocument/2006/relationships/hyperlink" Target="https://www.sec.gov/Archives/edgar/data/1356576/000135657621000028/supn-20201231xex1012.htm" TargetMode="External"/><Relationship Id="rId215" Type="http://schemas.openxmlformats.org/officeDocument/2006/relationships/hyperlink" Target="https://www.sec.gov/Archives/edgar/data/1356576/000104746912000931/a2207174zex-10_20.htm" TargetMode="External"/><Relationship Id="rId220" Type="http://schemas.openxmlformats.org/officeDocument/2006/relationships/hyperlink" Target="https://www.sec.gov/Archives/edgar/data/1356576/000104746912002789/a2207731zex-10_22.htm" TargetMode="External"/><Relationship Id="rId221" Type="http://schemas.openxmlformats.org/officeDocument/2006/relationships/hyperlink" Target="https://www.sec.gov/Archives/edgar/data/1356576/000104746912002789/a2207731zex-10_23.htm" TargetMode="External"/><Relationship Id="rId222" Type="http://schemas.openxmlformats.org/officeDocument/2006/relationships/hyperlink" Target="https://www.sec.gov/Archives/edgar/data/1356576/000104746912004146/a2208560zex-10_26.htm" TargetMode="External"/><Relationship Id="rId223" Type="http://schemas.openxmlformats.org/officeDocument/2006/relationships/hyperlink" Target="https://www.sec.gov/Archives/edgar/data/1356576/000104746912004146/a2208560zex-10_27.htm" TargetMode="External"/><Relationship Id="rId224" Type="http://schemas.openxmlformats.org/officeDocument/2006/relationships/hyperlink" Target="https://www.sec.gov/Archives/edgar/data/1356576/000110465913008523/a13-4631_1ex10d1.htm" TargetMode="External"/><Relationship Id="rId225" Type="http://schemas.openxmlformats.org/officeDocument/2006/relationships/hyperlink" Target="https://www.sec.gov/Archives/edgar/data/1356576/000135657613000023/supn-20130821ex1016196c4.htm" TargetMode="External"/><Relationship Id="rId226" Type="http://schemas.openxmlformats.org/officeDocument/2006/relationships/hyperlink" Target="https://www.sec.gov/Archives/edgar/data/1356576/000110465914050571/a14-16620_1ex10d1.htm" TargetMode="External"/><Relationship Id="rId227" Type="http://schemas.openxmlformats.org/officeDocument/2006/relationships/hyperlink" Target="https://www.sec.gov/Archives/edgar/data/1356576/000110465914050571/a14-16620_1ex10d2.htm" TargetMode="External"/><Relationship Id="rId228" Type="http://schemas.openxmlformats.org/officeDocument/2006/relationships/hyperlink" Target="https://www.sec.gov/Archives/edgar/data/1356576/000135657624000013/supn-20231231xex1016.htm" TargetMode="External"/><Relationship Id="rId229" Type="http://schemas.openxmlformats.org/officeDocument/2006/relationships/hyperlink" Target="https://www.sec.gov/Archives/edgar/data/1356576/000110465914059442/a14-18762_1ex10d2.htm" TargetMode="External"/><Relationship Id="rId230" Type="http://schemas.openxmlformats.org/officeDocument/2006/relationships/hyperlink" Target="https://www.sec.gov/Archives/edgar/data/1356576/000110465916102653/a16-5842_1ex10d1.htm" TargetMode="External"/><Relationship Id="rId231" Type="http://schemas.openxmlformats.org/officeDocument/2006/relationships/hyperlink" Target="https://www.sec.gov/Archives/edgar/data/1356576/000104746916010884/a2227616zex-10_36.htm" TargetMode="External"/><Relationship Id="rId232" Type="http://schemas.openxmlformats.org/officeDocument/2006/relationships/hyperlink" Target="https://www.sec.gov/Archives/edgar/data/1356576/000104746918003310/a2235487zdef14a.htm" TargetMode="External"/><Relationship Id="rId235" Type="http://schemas.openxmlformats.org/officeDocument/2006/relationships/hyperlink" Target="https://www.sec.gov/Archives/edgar/data/1356576/000104746916012346/a2228311zdef14a.htm" TargetMode="External"/><Relationship Id="rId236" Type="http://schemas.openxmlformats.org/officeDocument/2006/relationships/hyperlink" Target="https://www.sec.gov/Archives/edgar/data/1356576/000110465917031191/a17-10293_1ex10d1.htm" TargetMode="External"/><Relationship Id="rId237" Type="http://schemas.openxmlformats.org/officeDocument/2006/relationships/hyperlink" Target="https://www.sec.gov/Archives/edgar/data/1356576/000110465917031191/a17-10293_1ex10d2.htm" TargetMode="External"/><Relationship Id="rId238" Type="http://schemas.openxmlformats.org/officeDocument/2006/relationships/hyperlink" Target="https://www.sec.gov/Archives/edgar/data/1356576/000110465917031191/a17-10293_1ex10d3.htm" TargetMode="External"/><Relationship Id="rId239" Type="http://schemas.openxmlformats.org/officeDocument/2006/relationships/hyperlink" Target="https://www.sec.gov/Archives/edgar/data/1356576/000110465918032502/a18-13353_1ex10d1.htm" TargetMode="External"/><Relationship Id="rId240" Type="http://schemas.openxmlformats.org/officeDocument/2006/relationships/hyperlink" Target="https://www.sec.gov/Archives/edgar/data/1356576/000110465919005844/a19-4046_1ex10d1.htm" TargetMode="External"/><Relationship Id="rId241" Type="http://schemas.openxmlformats.org/officeDocument/2006/relationships/hyperlink" Target="https://www.sec.gov/Archives/edgar/data/1356576/000110465920026188/tm2011087d1_ex10-2.htm" TargetMode="External"/><Relationship Id="rId242" Type="http://schemas.openxmlformats.org/officeDocument/2006/relationships/hyperlink" Target="https://www.sec.gov/Archives/edgar/data/1356576/000135657620000054/supn-20200630x10qxex101.htm" TargetMode="External"/><Relationship Id="rId243" Type="http://schemas.openxmlformats.org/officeDocument/2006/relationships/hyperlink" Target="https://www.sec.gov/Archives/edgar/data/1356576/000135657620000054/supn-20200630x10qxex102.htm" TargetMode="External"/><Relationship Id="rId244" Type="http://schemas.openxmlformats.org/officeDocument/2006/relationships/hyperlink" Target="https://www.sec.gov/Archives/edgar/data/1356576/000135657620000054/supn-20200630x10qxex103.htm" TargetMode="External"/><Relationship Id="rId245" Type="http://schemas.openxmlformats.org/officeDocument/2006/relationships/hyperlink" Target="https://www.sec.gov/Archives/edgar/data/1356576/000135657620000054/supn-20200630x10qxex104.htm" TargetMode="External"/><Relationship Id="rId246" Type="http://schemas.openxmlformats.org/officeDocument/2006/relationships/hyperlink" Target="https://www.sec.gov/Archives/edgar/data/1356576/000135657620000054/supn-20200630x10qxex105.htm" TargetMode="External"/><Relationship Id="rId248" Type="http://schemas.openxmlformats.org/officeDocument/2006/relationships/hyperlink" Target="https://www.sec.gov/Archives/edgar/data/1356576/000110465921097603/tm2123591d1_ex10-1.htm" TargetMode="External"/><Relationship Id="rId249" Type="http://schemas.openxmlformats.org/officeDocument/2006/relationships/hyperlink" Target="https://www.sec.gov/Archives/edgar/data/1356576/000135657621000082/supn-20210630x10qxex101.htm" TargetMode="External"/><Relationship Id="rId250" Type="http://schemas.openxmlformats.org/officeDocument/2006/relationships/hyperlink" Target="https://www.sec.gov/Archives/edgar/data/1356576/000135657621000082/supn-20210630x10qxex102.htm" TargetMode="External"/><Relationship Id="rId251" Type="http://schemas.openxmlformats.org/officeDocument/2006/relationships/hyperlink" Target="https://www.sec.gov/Archives/edgar/data/1356576/000135657621000082/supn-20210630x10qxex103.htm" TargetMode="External"/><Relationship Id="rId252" Type="http://schemas.openxmlformats.org/officeDocument/2006/relationships/hyperlink" Target="https://www.sec.gov/Archives/edgar/data/1356576/000135657624000013/supn-20231231xex1038.htm" TargetMode="External"/><Relationship Id="rId253" Type="http://schemas.openxmlformats.org/officeDocument/2006/relationships/hyperlink" Target="https://www.sec.gov/Archives/edgar/data/1356576/000135657621000082/supn-20210630x10qxex104.htm" TargetMode="External"/><Relationship Id="rId254" Type="http://schemas.openxmlformats.org/officeDocument/2006/relationships/hyperlink" Target="https://www.sec.gov/Archives/edgar/data/1356576/000135657624000013/supn-20231231xex1040.htm" TargetMode="External"/><Relationship Id="rId255" Type="http://schemas.openxmlformats.org/officeDocument/2006/relationships/hyperlink" Target="https://www.sec.gov/Archives/edgar/data/0001356576/000135657621000082/supn-20210630x10qxex105.htm" TargetMode="External"/><Relationship Id="rId256" Type="http://schemas.openxmlformats.org/officeDocument/2006/relationships/hyperlink" Target="https://www.sec.gov/Archives/edgar/data/1356576/000135657624000013/supn-20231231xex1042.htm" TargetMode="External"/><Relationship Id="rId257" Type="http://schemas.openxmlformats.org/officeDocument/2006/relationships/hyperlink" Target="https://www.sec.gov/Archives/edgar/data/1356576/000135657621000082/supn-20210630x10qxex106.htm" TargetMode="External"/><Relationship Id="rId258" Type="http://schemas.openxmlformats.org/officeDocument/2006/relationships/hyperlink" Target="https://www.sec.gov/Archives/edgar/data/1356576/000135657624000013/supn-20231231xex1044.htm" TargetMode="External"/><Relationship Id="rId259" Type="http://schemas.openxmlformats.org/officeDocument/2006/relationships/hyperlink" Target="https://www.sec.gov/Archives/edgar/data/1356576/000135657621000095/supn-2021930x10qxex101.htm" TargetMode="External"/><Relationship Id="rId260" Type="http://schemas.openxmlformats.org/officeDocument/2006/relationships/hyperlink" Target="https://www.sec.gov/Archives/edgar/data/1328143/000162828017010669/moehsex102.htm" TargetMode="External"/><Relationship Id="rId261" Type="http://schemas.openxmlformats.org/officeDocument/2006/relationships/hyperlink" Target="https://www.sec.gov/Archives/edgar/data/1356576/000135657623000016/supn-20201231xex1071.htm" TargetMode="External"/><Relationship Id="rId266" Type="http://schemas.openxmlformats.org/officeDocument/2006/relationships/hyperlink" Target="https://www.sec.gov/Archives/edgar/data/1356576/000135657624000013/supn-20231231xex1048.htm" TargetMode="External"/><Relationship Id="rId267" Type="http://schemas.openxmlformats.org/officeDocument/2006/relationships/hyperlink" Target="https://www.sec.gov/Archives/edgar/data/1356576/000110465923021918/tm235504d1_ex10-1.htm" TargetMode="External"/><Relationship Id="rId268" Type="http://schemas.openxmlformats.org/officeDocument/2006/relationships/hyperlink" Target="https://www.sec.gov/Archives/edgar/data/1356576/000135657625000011/supn-exx103.htm" TargetMode="External"/><Relationship Id="rId269" Type="http://schemas.openxmlformats.org/officeDocument/2006/relationships/hyperlink" Target="https://www.sec.gov/Archives/edgar/data/1356576/000135657624000051/ex101-settlementagreementb.htm" TargetMode="External"/><Relationship Id="rId270" Type="http://schemas.openxmlformats.org/officeDocument/2006/relationships/hyperlink" Target="https://www.sec.gov/Archives/edgar/data/1328143/000110465921129312/tm2130834d2_exd2.htm" TargetMode="External"/><Relationship Id="rId271" Type="http://schemas.openxmlformats.org/officeDocument/2006/relationships/hyperlink" Target="https://www.sec.gov/ix?doc=/Archives/edgar/data/0001356576/000135657624000069/supn-202412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2025-02-25T15:42:01Z</dcterms:created>
  <dcterms:modified xsi:type="dcterms:W3CDTF">2025-02-25T15:42:01Z</dcterms:modified>
</cp:coreProperties>
</file>