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May 17,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Supernus Pharmaceuticals,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7"/>
        <w:gridCol w:w="1561"/>
        <w:gridCol w:w="1577"/>
        <w:gridCol w:w="381"/>
        <w:gridCol w:w="380"/>
        <w:gridCol w:w="378"/>
        <w:gridCol w:w="378"/>
        <w:gridCol w:w="378"/>
        <w:gridCol w:w="386"/>
        <w:gridCol w:w="877"/>
        <w:gridCol w:w="877"/>
        <w:gridCol w:w="1255"/>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001-35518</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20-2590184</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9715 Key West Ave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Rockville</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MD</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(301) 838-2500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Securities registered pursuant to Section 12(b) of the Exchange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705"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color w:val="FF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May 17, 2026 (the “Notice Date”), pursuant to the Contingent Value Right Agreement (the “CVR Agreement”) entered into as of July 30, 2025, by and between Supernus Pharmaceuticals, Inc., a Delaware corporation (the “Company”) and Equiniti Trust Company, LLC, a New York limited liability trust company, as Rights Agent, the Company notified the Rights Agent that Milestone 1, as defined in the CVR Agreement, was achieved on March 18, 2026. Accordingly, the Company has become obligated to pay the associated milestone payment, an amount equal to $0.50 per Contingent Value Right ("CVR"), payable in cash, without interest thereon and subject to reduction for any applicable withholding taxes in respect thereof, in the aggregate amount of approximately $33.4 million. The Company will deposit with the Rights Agent the amount necessary to pay the associated milestone payment within 20 business days of the Notice Date. Payment to holders of the CVR will be distributed pursuant to the terms and conditions of the CVR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certain terms of the CVR Agreement and the CVRs issued thereunder is not complete and is qualified in its entirety by reference to the full text of the CVR Agreement, which is incorporated herein by reference to Exhibit 10.1 to the Company’s Current Report on Form 8-K filed with the Securities and Exchange Commission on July 31, 2025 (File No. 001-35518).</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2.03 (including Exhibit 10.1)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whether made before or after the date of this report, except as shall be expressly set forth by specific reference in such filing.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that do not convey historical information, but relate to predicted or potential future events, such as statements of our plans, strategies and intentions. These statements can often be identified by the use of forward-looking terminology such as “believe,” “expect,” “intend,” “may,” “will,” “should,” or “anticipate” or similar terminology. All statements other than statements of historical facts included in this Current Report on Form 8-K are forward-looking statements. All forward-looking statements speak only as of the date of this Current Report on Form 8-K. Except for Supernus’ ongoing obligations to disclose material information under the federal securities laws, Supernus undertakes no obligation to update or revise any forward-looking statements, whether as a result of new information, future events or otherwise. In addition to the risks and uncertainties of ordinary business operations and conditions in the general economy and the markets in which Supernus competes, the forward-looking statements of Supernus contained in this Current Report on Form 8-K are also subject to various risks and uncertainties, including those set forth in Item 1A, “Risk Factors,” in Supernus’ Annual Report on Form 10-K for the fiscal year ended December 31, 2025 which the Company filed on March 2, 2026, and other risk factors set forth from time to time in the Company’s filings with the Securities and Exchange Commission made pursuant to Section 13 or 15(d) of the Securities Exchange Act of 1934, as amended.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2756"/>
        <w:gridCol w:w="2756"/>
        <w:gridCol w:w="394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9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4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Exhibit 10.1* - Contingent Value Rights Agreement, dated as of July 30, 2025, by and among Supernus Pharmaceuticals, Inc. and Equiniti Trust Company, LLC (incorporated by reference to Exhibit 10.1 to the Company’s Form 8-K filed on July 31, 2026, File No. 001-35518).</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*Previously filed.</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7793" w:type="dxa"/>
        <w:jc w:val="left"/>
        <w:tblInd w:w="0" w:type="dxa"/>
        <w:tblLayout w:type="fixed"/>
        <w:tblCellMar>
          <w:top w:w="28" w:type="dxa"/>
          <w:left w:w="28" w:type="dxa"/>
          <w:bottom w:w="28" w:type="dxa"/>
          <w:right w:w="28" w:type="dxa"/>
        </w:tblCellMar>
      </w:tblPr>
      <w:tblGrid>
        <w:gridCol w:w="727"/>
        <w:gridCol w:w="640"/>
        <w:gridCol w:w="642"/>
        <w:gridCol w:w="548"/>
        <w:gridCol w:w="548"/>
        <w:gridCol w:w="548"/>
        <w:gridCol w:w="1208"/>
        <w:gridCol w:w="1208"/>
        <w:gridCol w:w="172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May 20,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 President and Chief Financial Officer</w:t>
            </w:r>
          </w:p>
        </w:tc>
      </w:tr>
    </w:tbl>
    <w:p>
      <w:pPr>
        <w:pStyle w:val="TextBody"/>
        <w:bidi w:val="0"/>
        <w:spacing w:before="0" w:after="283"/>
        <w:ind w:left="0" w:right="0" w:firstLine="72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56576/000110465925072506/tm2522014d3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5446</Characters>
  <CharactersWithSpaces>6415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