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2009d1_8k.htm"/>
      <w:bookmarkStart w:id="1" w:name="kstm2622009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801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01"/>
            <w:bookmarkEnd w:id="6"/>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bookmarkStart w:id="8" w:name="xdx_90B_edei--EntityAddressAddressLine1_"/>
            <w:bookmarkEnd w:id="8"/>
            <w:r>
              <w:rPr>
                <w:b/>
              </w:rPr>
              <w:t>9715 Key West Ave</w:t>
            </w:r>
          </w:p>
        </w:tc>
        <w:tc>
          <w:tcPr>
            <w:tcW w:w="965" w:type="dxa"/>
            <w:tcBorders/>
            <w:vAlign w:val="center"/>
          </w:tcPr>
          <w:p>
            <w:pPr>
              <w:pStyle w:val="TableContents"/>
              <w:bidi w:val="0"/>
              <w:spacing w:before="0" w:after="283"/>
              <w:jc w:val="center"/>
              <w:rPr>
                <w:b/>
              </w:rPr>
            </w:pPr>
            <w:bookmarkStart w:id="9" w:name="xdx_90C_edei--EntityAddressCityOrTown_c2"/>
            <w:bookmarkEnd w:id="9"/>
            <w:r>
              <w:rPr>
                <w:b/>
              </w:rPr>
              <w:t>Rockville</w:t>
            </w:r>
          </w:p>
        </w:tc>
        <w:tc>
          <w:tcPr>
            <w:tcW w:w="425" w:type="dxa"/>
            <w:tcBorders/>
            <w:vAlign w:val="center"/>
          </w:tcPr>
          <w:p>
            <w:pPr>
              <w:pStyle w:val="TableContents"/>
              <w:bidi w:val="0"/>
              <w:spacing w:before="0" w:after="283"/>
              <w:jc w:val="center"/>
              <w:rPr>
                <w:b/>
              </w:rPr>
            </w:pPr>
            <w:bookmarkStart w:id="10" w:name="xdx_900_edei--EntityAddressStateOrProvin"/>
            <w:bookmarkEnd w:id="10"/>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0_edei--EntityAddressPostalZipCode"/>
            <w:bookmarkEnd w:id="11"/>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2_edei--CityAreaCode_c20260801__20"/>
      <w:bookmarkEnd w:id="12"/>
      <w:r>
        <w:rPr>
          <w:rFonts w:ascii="Times New Roman;Times;Serif" w:hAnsi="Times New Roman;Times;Serif"/>
          <w:b/>
          <w:i w:val="false"/>
          <w:caps w:val="false"/>
          <w:smallCaps w:val="false"/>
          <w:sz w:val="20"/>
        </w:rPr>
        <w:t xml:space="preserve">301) </w:t>
      </w:r>
      <w:bookmarkStart w:id="13" w:name="xdx_90C_edei--LocalPhoneNumber_c20260801"/>
      <w:bookmarkEnd w:id="13"/>
      <w:r>
        <w:rPr>
          <w:rFonts w:ascii="Times New Roman;Times;Serif" w:hAnsi="Times New Roman;Times;Serif"/>
          <w:b/>
          <w:i w:val="false"/>
          <w:caps w:val="false"/>
          <w:smallCaps w:val="false"/>
          <w:sz w:val="20"/>
        </w:rPr>
        <w:t>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bookmarkStart w:id="14" w:name="xdx_907_edei--Security12bTitle_c20260801"/>
            <w:bookmarkEnd w:id="14"/>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bookmarkStart w:id="15" w:name="xdx_900_edei--TradingSymbol_c20260801__2"/>
            <w:bookmarkEnd w:id="15"/>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 xml:space="preserve">The </w:t>
            </w:r>
            <w:bookmarkStart w:id="16" w:name="xdx_900_edei--SecurityExchangeName_c2026"/>
            <w:bookmarkEnd w:id="16"/>
            <w:r>
              <w:rPr>
                <w:rFonts w:ascii="Times New Roman;Times;Serif" w:hAnsi="Times New Roman;Times;Serif"/>
                <w:sz w:val="20"/>
              </w:rPr>
              <w:t>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sz w:val="20"/>
        </w:rPr>
      </w:pPr>
      <w:bookmarkStart w:id="17" w:name="xdx_90F_edei--WrittenCommunications_c202"/>
      <w:bookmarkEnd w:id="17"/>
      <w:r>
        <w:rPr>
          <w:rFonts w:ascii="Wingdings" w:hAnsi="Wingdings"/>
          <w:sz w:val="20"/>
        </w:rPr>
        <w:t>x</w:t>
      </w:r>
      <w:r>
        <w:rPr>
          <w:sz w:val="20"/>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sz w:val="20"/>
        </w:rPr>
      </w:pPr>
      <w:bookmarkStart w:id="18" w:name="xdx_908_edei--SolicitingMaterial_c202608"/>
      <w:bookmarkEnd w:id="18"/>
      <w:r>
        <w:rPr>
          <w:rFonts w:ascii="Wingdings" w:hAnsi="Wingdings"/>
          <w:sz w:val="20"/>
        </w:rPr>
        <w:t>x</w:t>
      </w:r>
      <w:r>
        <w:rPr>
          <w:sz w:val="20"/>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9" w:name="xdx_90C_edei--PreCommencementTenderOffer"/>
      <w:bookmarkEnd w:id="19"/>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20" w:name="xdx_901_edei--PreCommencementIssuerTende"/>
      <w:bookmarkEnd w:id="20"/>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bookmarkStart w:id="21" w:name="xdx_904_edei--EntityEmergingGrowthCompan"/>
      <w:bookmarkEnd w:id="21"/>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(the “Signing Date”), Supernus Pharmaceuticals, Inc., a Delaware corporation (the “Company” or “Supernus”), entered into a Merger Agreement (the “Merger Agreement”), by and among the Company, Indivior Pharmaceuticals Inc., a Delaware corporation (“Indivior”), and Artemis Merger Sub, Inc., a Delaware corporation and a wholly-owned subsidiary of Indivior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thereof, Merger Sub will merge with and into the Company (the “Merger”), with the Company continuing as the surviving corporation and a wholly owned subsidiary of Indivior. The Merger Agreement provides for a strategic combination of the Company and Indivior in a merger of equals. Following the completion of the Merger, the combined company will be renamed “Supernus, Inc.” (the “Combined Company”) and its shares of common stock are expected to continue trading on the Nasdaq Stock Market under the ticker symbol “SUPN.” Upon completion of the Merger, Indivior stockholders are expected to own approximately 56.5% of the Combined Company on a fully diluted basis and Supernus stockholders will own approximately 43.5% of the Combined Company on a fully diluted basis. The Merger and the other transactions contemplated by the Merger Agreement are referred to collectively as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common stock, par value $0.001 per share, of the Company (each, a “Company Share”) issued and outstanding immediately prior to the Effective Time (other than certain excluded shares) will be converted into the right to receive 1.5401 shares of common stock, par value $0.001 per share, of Indivior (each, an “Indivior Share” and, such ratio, the “Exchange Ratio,” and the Indivior Shares issuable in the Merger, the “Merger Consideration”). The Exchange Ratio is fixed and will not be adjusted for changes in the market price of either the Company Shares or the Indivior Shares. No fractional Indivior Shares will be issued in the Merger; instead, each holder of Company Shares who would otherwise be entitled to a fractional Indivior Share will receive cash in lieu thereof, without interest and subject to applicable withholding, based on the volume weighted average trading price of the Indivior Shares over a specified period prior to the Effective Time, as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Indivior Shares as Merger Consideration (the “Share Issuance”) requires the approval of Indivior’s stockholders, and the adoption of the Merger Agreement requires the approval of the Company’s stockholders. Each of the Company and Indivior has agreed to hold a meeting of its respective stockholders to obtain these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subject to applicable law and the satisfaction or waiver of the conditions to Closing, prior to the Effective Time Indivior will declare a cash dividend in an aggregate amount of $1,000,000,000 (the “Special Dividend”), payable to holders of record of Indivior Shares, and to holders of Indivior equity awards with respect to the Indivior Shares underlying such awards, in each case as of a record date immediately prior to the Effective Time and as more fully described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The parties have agreed to cooperate and use their respective reasonable best efforts to obtain such financing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at the Effective Time, outstanding Company equity awards will be assumed by Indivior and converted into corresponding awards with respect to Indivior Shares, with the number of underlying shares (and, for options, the exercise price) adjusted based on the Exchange Ratio. Each Company restricted stock unit award will be converted into an Indivior restricted stock unit award; each Company performance stock unit award will be converted into an Indivior restricted stock unit award subject solely to time-based vesting (with performance-vesting conditions ceasing to apply); and each Company stock option will be converted into an option to acquire Indivior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the Chair of the Combined Company Board will be a nominee of Indivior; (iii) Jack A. Khattar will serve as Chief Executive Officer and as a member of the Combined Company Board; and (iv) Timonthy C. Dec will serve as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warranties and covenants made by each of the Company and Indivior. From the date of the Merger Agreement until the earlier of the Effective Time and the termination of the Merger Agreement, each of the Company and Indivior has agreed to use reasonable efforts to conduct its business in the ordinary course consistent with past practice in all material respects and has agreed to certain other operating covenants, as set forth more fully in the Merger Agreement. Consummation of the Merger is subject to customary closing conditions, including, among others, (i) the receipt of the required approvals of the Company’s and Indivior’s respective stockholders; (ii) the expiration or termination of the waiting period applicable to the Merger under the Hart-Scott-Rodino Antitrust Improvements Act of 1976, as amended; (iii) the effectiveness of the registration statement on Form S-4 to be filed by Indivior in connection with the Share Issuance; (iv) the approval for listing on the Nasdaq Stock Market of the Indivior Shares to be issued in the Merger; (v) the accuracy of the representations and warranties of the other party, subject to customary thresholds and exceptions; (vi) compliance by the other party in all material respects with its covenants; and (vii) the absence of a continuing material adverse effect with respect to the other party; (viii) the proceeds of Indivior’s committed financing having been funded, or being funded substantially concurrently with the closing, in an amount sufficient (together with the parties’ available cash) to consummate the Transactions, including payment of the Special Dividend; and (ix) if requested by the Company, Indivior’s having obtained, effective as of the closing, specified insurance coverage with respect to risks identified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for U.S. federal income tax purposes, the Merger will qualify as a “reorganization” within the meaning of Section 368(a) of the Internal Revenue Code of 1986, as amended, and that the Merger Agreement will constitute a “plan of reorganization” for purposes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Indivior has agreed to customary “no-solicitation” restrictions on its ability to solicit alternative acquisition proposals from third parties and to engage in discussions or negotiations regarding, or to provide non-public information in connection with, alternative acquisition proposals. Notwithstanding these restrictions, prior to obtaining the approval of its stockholders, each party may under specified circumstances furnish information to, and engage in discussions or negotiations with, a third party that has made a bona fide written acquisition proposal that its board of directors determines in good faith, after consultation with the Company’s or Indivior’s outside legal counsel, constitutes or would reasonably be expected to lead to a superior proposal. The board of directors of the Company has resolved to recommend that its stockholders adopt the Merger Agreement, and the board of directors of Indivior has resolved to recommend that its stockholders approve the Share Issuance, in each case subject to customary restrictions on the ability to change that recommendation and to a customary fiduciary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a remedy of specific performance for the parties thereto. The Merger Agreement also contains customary termination rights for both the Company and Indivior, including the right of either party, under specified circumstances, to terminate the Merger Agreement to accept a superior proposal. Either party may also terminate the Merger Agreement if the Merger has not been consummated by the date that is six months after the date of the Merger Agreement (the “Termination Date”); provided that, if on that date the only conditions that remain unsatisfied relate to antitrust approvals or the financing, either party may extend the Termination Date to a date up to nine months, and thereafter up to twelve months, after the date of the Merger Agreement. Upon termination of the Merger Agreement under specified circumstances, including in connection with a change in a party’s board recommendation or a party’s termination to accept a superior proposal, the terminating or breaching party may be required to pay the other party a termination fee in an amount equal to $101 million (in the case of a fee payable by the Company) or $174 million (in the case of a fee payable by Indivior), as set forth in the Merger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on the Signing Date, and as an inducement to the parties’ willingness to enter into the Merger Agreement, the directors and executive officers of each of the Company and Indivior entered into voting and support agreements (the “Voting Agreements”) obligating each of them to support the Transactions solely in their individual capacity as a stockholder of the Company or Indivior, as applicable, and not in any other capacity; nothing in the Voting Agreements limits or restricts any such stockholder who is a director or officer of the Company or Indivior from acting in that capacity. The shares subject to each voting agreement include shares beneficially owned as of the date of the agreement and any additional shares as to which the stockholder acquires beneficial ownership prior to termination, including shares acquired upon exercise or settlement of equity awards. Under each voting agreement, the stockholder has agreed, unconditionally and irrevocably, to appear (or cause its shares to be counted as present for purposes of establishing a quorum) at the applicable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Indivior 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of Indivior entered into a voting agreement with the Company (each, an “Indivior Voting Agreement” and, collectively, the “Indivior Voting Agreements”). Under the Indivior Voting Agreements, each such Indivior stockholder agreed, among other things, until the earlier of the receipt of the required approval of Indivior’s stockholders and the termination of the Indivior Voting Agreement, to vote all of its Indivior Shares (i) in favor of the Share Issuance and each of the transactions contemplated by the Merger Agreement, including any matter necessary for the consummation of the transactions thereby, (ii) against any alternative acquisition proposal or any other action that would reasonably be expected to materially impede, interfere with, delay or adversely affect the Merger, and (iii) in favor of any proposal to adjourn or postpone any meeting of Indivior stockholders if there are not sufficient votes for approval of the Indivior Share Issuance on the date on which the meeting is held. Each such stockholder also agreed, subject to specified permitted transfers, not to transfer its Indivior Shares during the term of the agreement, and agreed to certain restrictions on participating in litigation challenging the Merger Agreement, the Indivior Voting Agreement or the Transactions. The obligations under each Indivior Voting Agreement apply to each stockholder solely in its capacity as a stockholder and do not limit or restrict any stockholder who is a director or officer of Indivior from acting in that capacity. Each Indivior Voting Agreement terminates upon the earliest to occur of specified events, including the termination of the Merger Agreement in accordance with its terms, the receipt of the required approval of Indivior’s stockholders, the Effective Time, a modification, waiver or amendment of the Merger Agreement made without the stockholder’s consent that reduces the amount or changes the form of the Special Dividend, and a change in the Indivior board’s recommendation made in compliance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of the Company each entered into a voting agreement with Indivior (each, a “Company Voting Agreement” and, collectively, the “Company Voting Agreements”). Under the Company Voting Agreements, each such Company stockholder agreed, among other things, until the earlier of the receipt of the required approval of the Company’s stockholders and the termination of the Company Voting Agreement, to vote all of its Company Shares (i) in favor of the Merger, adoption and approval of the Merger Agreement and the terms thereof and the transactions contemplated by the Merger Agreement, including any matter necessary for the consummation of the Mergers, (ii) against any alternative acquisition proposal or any other action that would reasonably be expected to materially impede, interfere with, delay or adversely affect the Merger, and (iii) in favor of any proposal to adjourn or postpone any meeting of Supernus stockholders if there are not sufficient votes for approval of Merger Agreement on the date on which the meeting is held. Each such stockholder also agreed, subject to specified permitted transfers, not to transfer its Company Shares during the term of the agreement, and agreed to certain restrictions on participating in litigation challenging the Merger Agreement, the Company Voting Agreement or the Transactions. The obligations under each Company Voting Agreement apply to the stockholder solely in its capacity as a stockholder and do not limit or restrict any stockholder who is a director or officer of the Company from acting in that capacity. Each Company Voting Agreement terminates upon the earliest to occur of specified events, including the termination of the Merger Agreement in accordance with its terms, the receipt of the required approval of the Company’s stockholders, the Effective Time, a modification, waiver or amendment of the Merger Agreement made without the stockholder’s consent that reduces the amount or changes the form of the merger consideration, and a change in the Company board’s recommendation made in compliance with the Merger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Agreement, the Indivior Voting Agreements and the Company Voting Agreements, and the transactions contemplated thereby, do not purport to be complete and are qualified in their entirety by reference to the Merger Agreement, the form of Indivior Voting Agreement and the form of Company Voting Agreement, which are filed as Exhibit 2.1, Exhibit 10.1 and Exhibit 10.2 hereto, respectively, and each of which is incorporated herein by reference. The Merger Agreement and the forms of Voting Agreement have been filed to provide investors with information regarding their terms. They are not intended to provide any other factual information about the Company, Indivior, Merger Sub or any of their respective subsidiaries or affiliates. The Merger Agreement contains representations and warranties that are the product of negotiations among the parties thereto and that the parties made to, and solely for the benefit of, each other as of specified dates. The assertions embodied in those representations and warranties are qualified in important part by confidential disclosure schedules and letters delivered by the parties in connection with the Merger Agreement. Moreover, certain representations and warranties in the Merger Agreement may be subject to a contractual standard of materiality different from what might be viewed as material to stockholders or investors, or may have been used for the purpose of allocating risk between the parties instead of establishing these matters as facts. Accordingly, investors should not rely on the representations, warranties and covenants or any descriptions thereof as characterizations of the actual state of facts or conditions of the Company, Indivior or any of their respective subsidiaries or` affiliates, and should consider the information in the Merger Agreement in conjunction with the entirety of the factual disclosure about the Company and Indivior in their respective public reports filed with the Securities and Exchange Commission (the “SEC”). Information concerning the subject matter of the representations and warranties may change after the date of the Merger Agreement, which subsequent information may or may not be fully reflected in the parties’ public disclosures.</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830"/>
        <w:gridCol w:w="425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42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in connection with, and concurrently with the execution of, the Merger Agreement, the Company and Jack A. Khattar, the Company’s President and Chief Executive Officer, entered into a Second Amended and Restated Employment Agreement (the “Employment Agreement”), which amends, restates and supersedes Mr. Khattar’s prior employment agreement with the Company. The Employment Agreement will become effective only upon, and is contingent upon, the consummation of the Merger; if the Merger is not consummated, the Employment Agreement will be null and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Date, Mr. Khattar will continue to serve as President and Chief Executive Officer of the Company and will serve as a member of the board of directors of each of the Combined Company (to be renamed Supernus, Inc.) and the Company. The Employment Agreement provides for an annual base salary of $1,115,000, subject to review and potential increase, and an annual cash bonus targeted at 100% of base salary, up to a maximum of 200% of base salary, based on the achievement of individual and Company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Khattar’s employment is terminated by the Company without cause or by Mr. Khattar for good reason, then, subject to his execution and non-revocation of a release of claims, he will be entitled to (i) continuation of his base salary over an 18-month severance period (increased to a 24-month severance period if the termination occurs during the period beginning three months before and ending twelve months after a change in control), (ii) a lump-sum payment equal to his most recent annual bonus, and (iii) Company-paid COBRA premiums for up to 12 months. The Employment Agreement does not provide for any excise tax gross-up; instead, payments that would otherwise be subject to the excise tax under Section 4999 of the Internal Revenue Code are subject to a “best after-tax” reduction. The Employment Agreement also contains customary confidentiality, non-competition and non-solicitation covenants, with the non-competition and non-solicitation covenants applying during Mr. Khattar’s employment and for twelve months following termination. In addition, any termination of Mr. Khattar’s employment (including any determination that cause or disability exists) requires, during the three (3) years following the Effective Time, the approval of a majority of the board of directors then in office (excluding Mr. Khattar), at least one of whom must be a director designated by the Company (a “Supernus Designee,” as defined in the Merger Agreement). Disputes over whether cause or good reason exists are subject to notice-and-cure periods and, if unresolved, binding arbitration. Upon a termination by the Company without cause or by Mr. Khattar for good reason, Mr. Khattar’s outstanding stock-based compensation awards will vest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qualified in its entirety by reference to the Employment Agreement, which is filed as Exhibit 10.3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Item 8.01 </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and Indivior issued a joint press release announcing the execution of the Merger Agreement. A copy of the joint press release is filed as Exhibit 99.1 hereto and is incorporated herein by reference. The Company and Indivior will host a joint conference call and webcast on Monday, August 3, 2026 at 8:30 a.m. EDT. A replay of the webcast will be available following the event. An investor presentation, which will be referenced during the webcast, will be available from the Investor Relations section of both companies'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2-1.htm">
        <w:r>
          <w:rPr>
            <w:rStyle w:val="InternetLink"/>
            <w:rFonts w:ascii="Times New Roman;Times;Serif" w:hAnsi="Times New Roman;Times;Serif"/>
            <w:b w:val="false"/>
            <w:i w:val="false"/>
            <w:caps w:val="false"/>
            <w:smallCaps w:val="false"/>
            <w:sz w:val="20"/>
          </w:rPr>
          <w:t>Exhibit 2.1* - Agreement and Plan of Merger, dated as of August 1, 2026, by and among Supernus Pharmaceuticals, Inc., Indivior Pharmaceuticals, Inc. and Artemis Merger Sub, Inc., dated as of August 1,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1.htm">
        <w:r>
          <w:rPr>
            <w:rStyle w:val="InternetLink"/>
            <w:rFonts w:ascii="Times New Roman;Times;Serif" w:hAnsi="Times New Roman;Times;Serif"/>
            <w:b w:val="false"/>
            <w:i w:val="false"/>
            <w:caps w:val="false"/>
            <w:smallCaps w:val="false"/>
            <w:sz w:val="20"/>
          </w:rPr>
          <w:t>Exhibit 10.1 - Form of Voting and Support Agreement, by and between Indivior Pharmaceuticals, Inc. and certain stockholders of Supernus Pharmaceuticals, Inc. party thereto.</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2.htm">
        <w:r>
          <w:rPr>
            <w:rStyle w:val="InternetLink"/>
            <w:rFonts w:ascii="Times New Roman;Times;Serif" w:hAnsi="Times New Roman;Times;Serif"/>
            <w:b w:val="false"/>
            <w:i w:val="false"/>
            <w:caps w:val="false"/>
            <w:smallCaps w:val="false"/>
            <w:sz w:val="20"/>
          </w:rPr>
          <w:t>Exhibit 10.2 - Form of Voting and Support Agreement, by and between Supernus Pharmaceuticals, Inc. and certain stockholders of Indivior Pharmaceuticals, Inc. party thereto.</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10-3.htm">
        <w:r>
          <w:rPr>
            <w:rStyle w:val="InternetLink"/>
            <w:rFonts w:ascii="Times New Roman;Times;Serif" w:hAnsi="Times New Roman;Times;Serif"/>
            <w:b w:val="false"/>
            <w:i w:val="false"/>
            <w:caps w:val="false"/>
            <w:smallCaps w:val="false"/>
            <w:sz w:val="20"/>
          </w:rPr>
          <w:t>Exhibit 10.3 – Second Amended and Restated Employment Agreement, by and between Supernus Pharmaceuticals, Inc. and Jack A. Khattar, dated as of August 1,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1_ex99-1.htm">
        <w:r>
          <w:rPr>
            <w:rStyle w:val="InternetLink"/>
            <w:rFonts w:ascii="Times New Roman;Times;Serif" w:hAnsi="Times New Roman;Times;Serif"/>
            <w:b w:val="false"/>
            <w:i w:val="false"/>
            <w:caps w:val="false"/>
            <w:smallCaps w:val="false"/>
            <w:sz w:val="20"/>
          </w:rPr>
          <w:t>Exhibit 99.1 - Joint Press Release of Supernus Pharmaceuticals, Inc. and Indivior Pharmaceuticals, Inc., dated August 3,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104 - The cover page from this Current Report on Form 8-K, formatted in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similar attachments have been omitted pursuant to Item 601(a)(5) of Regulation S-K. The Company agrees to furnish supplementally a copy of any omitted schedule and similar attachment to the SEC upon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30"/>
        <w:gridCol w:w="320"/>
        <w:gridCol w:w="4025"/>
      </w:tblGrid>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SUPERNUS PHARMACEUTICALS, INC.</w:t>
            </w:r>
          </w:p>
        </w:tc>
      </w:tr>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2" w:name="tm2622009d1_ex2-1.htm"/>
      <w:bookmarkStart w:id="23" w:name="kstm2622009d1_ex21"/>
      <w:bookmarkEnd w:id="22"/>
      <w:bookmarkEnd w:id="2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ARTEMIS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395"/>
        <w:gridCol w:w="7115"/>
        <w:gridCol w:w="275"/>
      </w:tblGrid>
      <w:tr>
        <w:trPr/>
        <w:tc>
          <w:tcPr>
            <w:tcW w:w="75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275" w:type="dxa"/>
            <w:tcBorders/>
            <w:vAlign w:val="center"/>
          </w:tcPr>
          <w:p>
            <w:pPr>
              <w:pStyle w:val="TableContents"/>
              <w:bidi w:val="0"/>
              <w:spacing w:before="0" w:after="283"/>
              <w:jc w:val="right"/>
              <w:rPr/>
            </w:pPr>
            <w:r>
              <w:rPr/>
              <w:t>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115"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7115" w:type="dxa"/>
            <w:tcBorders/>
            <w:vAlign w:val="center"/>
          </w:tcPr>
          <w:p>
            <w:pPr>
              <w:pStyle w:val="TableContents"/>
              <w:bidi w:val="0"/>
              <w:spacing w:before="0" w:after="283"/>
              <w:jc w:val="left"/>
              <w:rPr/>
            </w:pPr>
            <w:r>
              <w:rPr/>
              <w:t>Other Definitional Provisions</w:t>
            </w:r>
          </w:p>
        </w:tc>
        <w:tc>
          <w:tcPr>
            <w:tcW w:w="275" w:type="dxa"/>
            <w:tcBorders/>
            <w:vAlign w:val="center"/>
          </w:tcPr>
          <w:p>
            <w:pPr>
              <w:pStyle w:val="TableContents"/>
              <w:bidi w:val="0"/>
              <w:spacing w:before="0" w:after="283"/>
              <w:jc w:val="right"/>
              <w:rPr/>
            </w:pPr>
            <w:r>
              <w:rPr/>
              <w:t>20</w:t>
            </w:r>
          </w:p>
        </w:tc>
      </w:tr>
      <w:tr>
        <w:trPr/>
        <w:tc>
          <w:tcPr>
            <w:tcW w:w="395"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1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1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11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115" w:type="dxa"/>
            <w:tcBorders/>
            <w:vAlign w:val="center"/>
          </w:tcPr>
          <w:p>
            <w:pPr>
              <w:pStyle w:val="TableContents"/>
              <w:bidi w:val="0"/>
              <w:spacing w:before="0" w:after="283"/>
              <w:jc w:val="left"/>
              <w:rPr/>
            </w:pPr>
            <w:r>
              <w:rPr/>
              <w:t>Effects of the Merger</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7115" w:type="dxa"/>
            <w:tcBorders/>
            <w:vAlign w:val="center"/>
          </w:tcPr>
          <w:p>
            <w:pPr>
              <w:pStyle w:val="TableContents"/>
              <w:bidi w:val="0"/>
              <w:spacing w:before="0" w:after="283"/>
              <w:jc w:val="left"/>
              <w:rPr/>
            </w:pPr>
            <w:r>
              <w:rPr/>
              <w:t>Certificate of Incorporation of Indivior; Corporate Governance Matters</w:t>
            </w:r>
          </w:p>
        </w:tc>
        <w:tc>
          <w:tcPr>
            <w:tcW w:w="275" w:type="dxa"/>
            <w:tcBorders/>
            <w:vAlign w:val="center"/>
          </w:tcPr>
          <w:p>
            <w:pPr>
              <w:pStyle w:val="TableContents"/>
              <w:bidi w:val="0"/>
              <w:spacing w:before="0" w:after="283"/>
              <w:jc w:val="right"/>
              <w:rPr/>
            </w:pPr>
            <w:r>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7115" w:type="dxa"/>
            <w:tcBorders/>
            <w:vAlign w:val="center"/>
          </w:tcPr>
          <w:p>
            <w:pPr>
              <w:pStyle w:val="TableContents"/>
              <w:bidi w:val="0"/>
              <w:spacing w:before="0" w:after="283"/>
              <w:jc w:val="left"/>
              <w:rPr/>
            </w:pPr>
            <w:r>
              <w:rPr/>
              <w:t>Certificate of Incorporation and Bylaws of Surviving Corporation</w:t>
            </w:r>
          </w:p>
        </w:tc>
        <w:tc>
          <w:tcPr>
            <w:tcW w:w="275" w:type="dxa"/>
            <w:tcBorders/>
            <w:vAlign w:val="center"/>
          </w:tcPr>
          <w:p>
            <w:pPr>
              <w:pStyle w:val="TableContents"/>
              <w:bidi w:val="0"/>
              <w:spacing w:before="0" w:after="283"/>
              <w:jc w:val="right"/>
              <w:rPr/>
            </w:pPr>
            <w:r>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7115" w:type="dxa"/>
            <w:tcBorders/>
            <w:vAlign w:val="center"/>
          </w:tcPr>
          <w:p>
            <w:pPr>
              <w:pStyle w:val="TableContents"/>
              <w:bidi w:val="0"/>
              <w:spacing w:before="0" w:after="283"/>
              <w:jc w:val="left"/>
              <w:rPr/>
            </w:pPr>
            <w:r>
              <w:rPr/>
              <w:t>Directors and Officers of the Surviving Corporation and Other Subsidiaries</w:t>
            </w:r>
          </w:p>
        </w:tc>
        <w:tc>
          <w:tcPr>
            <w:tcW w:w="275" w:type="dxa"/>
            <w:tcBorders/>
            <w:vAlign w:val="center"/>
          </w:tcPr>
          <w:p>
            <w:pPr>
              <w:pStyle w:val="TableContents"/>
              <w:bidi w:val="0"/>
              <w:spacing w:before="0" w:after="283"/>
              <w:jc w:val="right"/>
              <w:rPr/>
            </w:pPr>
            <w:r>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7115" w:type="dxa"/>
            <w:tcBorders/>
            <w:vAlign w:val="center"/>
          </w:tcPr>
          <w:p>
            <w:pPr>
              <w:pStyle w:val="TableContents"/>
              <w:bidi w:val="0"/>
              <w:spacing w:before="0" w:after="283"/>
              <w:jc w:val="left"/>
              <w:rPr/>
            </w:pPr>
            <w:r>
              <w:rPr/>
              <w:t>Treatment of Supernus Shares and Merger Sub Shares</w:t>
            </w:r>
          </w:p>
        </w:tc>
        <w:tc>
          <w:tcPr>
            <w:tcW w:w="275" w:type="dxa"/>
            <w:tcBorders/>
            <w:vAlign w:val="center"/>
          </w:tcPr>
          <w:p>
            <w:pPr>
              <w:pStyle w:val="TableContents"/>
              <w:bidi w:val="0"/>
              <w:spacing w:before="0" w:after="283"/>
              <w:jc w:val="right"/>
              <w:rPr/>
            </w:pPr>
            <w:r>
              <w:rPr/>
              <w:t>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7115" w:type="dxa"/>
            <w:tcBorders/>
            <w:vAlign w:val="center"/>
          </w:tcPr>
          <w:p>
            <w:pPr>
              <w:pStyle w:val="TableContents"/>
              <w:bidi w:val="0"/>
              <w:spacing w:before="0" w:after="283"/>
              <w:jc w:val="left"/>
              <w:rPr/>
            </w:pPr>
            <w:r>
              <w:rPr/>
              <w:t>Treatment of Supernus Equity Awards</w:t>
            </w:r>
          </w:p>
        </w:tc>
        <w:tc>
          <w:tcPr>
            <w:tcW w:w="275" w:type="dxa"/>
            <w:tcBorders/>
            <w:vAlign w:val="center"/>
          </w:tcPr>
          <w:p>
            <w:pPr>
              <w:pStyle w:val="TableContents"/>
              <w:bidi w:val="0"/>
              <w:spacing w:before="0" w:after="283"/>
              <w:jc w:val="right"/>
              <w:rPr/>
            </w:pPr>
            <w:r>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7115" w:type="dxa"/>
            <w:tcBorders/>
            <w:vAlign w:val="center"/>
          </w:tcPr>
          <w:p>
            <w:pPr>
              <w:pStyle w:val="TableContents"/>
              <w:bidi w:val="0"/>
              <w:spacing w:before="0" w:after="283"/>
              <w:jc w:val="left"/>
              <w:rPr/>
            </w:pPr>
            <w:r>
              <w:rPr/>
              <w:t>Filing of S-8</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7115" w:type="dxa"/>
            <w:tcBorders/>
            <w:vAlign w:val="center"/>
          </w:tcPr>
          <w:p>
            <w:pPr>
              <w:pStyle w:val="TableContents"/>
              <w:bidi w:val="0"/>
              <w:spacing w:before="0" w:after="283"/>
              <w:jc w:val="left"/>
              <w:rPr/>
            </w:pPr>
            <w:r>
              <w:rPr/>
              <w:t>Closing of Supernus Transfer Books</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7115" w:type="dxa"/>
            <w:tcBorders/>
            <w:vAlign w:val="center"/>
          </w:tcPr>
          <w:p>
            <w:pPr>
              <w:pStyle w:val="TableContents"/>
              <w:bidi w:val="0"/>
              <w:spacing w:before="0" w:after="283"/>
              <w:jc w:val="left"/>
              <w:rPr/>
            </w:pPr>
            <w:r>
              <w:rPr/>
              <w:t>Exchange Fund; Exchange of Certificates</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7115" w:type="dxa"/>
            <w:tcBorders/>
            <w:vAlign w:val="center"/>
          </w:tcPr>
          <w:p>
            <w:pPr>
              <w:pStyle w:val="TableContents"/>
              <w:bidi w:val="0"/>
              <w:spacing w:before="0" w:after="283"/>
              <w:jc w:val="left"/>
              <w:rPr/>
            </w:pPr>
            <w:r>
              <w:rPr/>
              <w:t>Withholding</w:t>
            </w:r>
          </w:p>
        </w:tc>
        <w:tc>
          <w:tcPr>
            <w:tcW w:w="275" w:type="dxa"/>
            <w:tcBorders/>
            <w:vAlign w:val="center"/>
          </w:tcPr>
          <w:p>
            <w:pPr>
              <w:pStyle w:val="TableContents"/>
              <w:bidi w:val="0"/>
              <w:spacing w:before="0" w:after="283"/>
              <w:jc w:val="right"/>
              <w:rPr/>
            </w:pPr>
            <w:r>
              <w:rPr/>
              <w:t>27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7115" w:type="dxa"/>
            <w:tcBorders/>
            <w:vAlign w:val="center"/>
          </w:tcPr>
          <w:p>
            <w:pPr>
              <w:pStyle w:val="TableContents"/>
              <w:bidi w:val="0"/>
              <w:spacing w:before="0" w:after="283"/>
              <w:jc w:val="left"/>
              <w:rPr/>
            </w:pPr>
            <w:r>
              <w:rPr/>
              <w:t>Interest; No Liability</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7115" w:type="dxa"/>
            <w:tcBorders/>
            <w:vAlign w:val="center"/>
          </w:tcPr>
          <w:p>
            <w:pPr>
              <w:pStyle w:val="TableContents"/>
              <w:bidi w:val="0"/>
              <w:spacing w:before="0" w:after="283"/>
              <w:jc w:val="left"/>
              <w:rPr/>
            </w:pPr>
            <w:r>
              <w:rPr/>
              <w:t>Adjustments to Prevent Dilution</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71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7115" w:type="dxa"/>
            <w:tcBorders/>
            <w:vAlign w:val="center"/>
          </w:tcPr>
          <w:p>
            <w:pPr>
              <w:pStyle w:val="TableContents"/>
              <w:bidi w:val="0"/>
              <w:spacing w:before="0" w:after="283"/>
              <w:jc w:val="left"/>
              <w:rPr/>
            </w:pPr>
            <w:r>
              <w:rPr/>
              <w:t>No Appraisal Rights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REPRESENTATIONS AND WARRANTIES OF Supernus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7115" w:type="dxa"/>
            <w:tcBorders/>
            <w:vAlign w:val="center"/>
          </w:tcPr>
          <w:p>
            <w:pPr>
              <w:pStyle w:val="TableContents"/>
              <w:bidi w:val="0"/>
              <w:spacing w:before="0" w:after="283"/>
              <w:jc w:val="left"/>
              <w:rPr/>
            </w:pPr>
            <w:r>
              <w:rPr/>
              <w:t>Organization and Corporate Power</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7115" w:type="dxa"/>
            <w:tcBorders/>
            <w:vAlign w:val="center"/>
          </w:tcPr>
          <w:p>
            <w:pPr>
              <w:pStyle w:val="TableContents"/>
              <w:bidi w:val="0"/>
              <w:spacing w:before="0" w:after="283"/>
              <w:jc w:val="left"/>
              <w:rPr/>
            </w:pPr>
            <w:r>
              <w:rPr/>
              <w:t>Authorization; Valid and Binding Agreement</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115" w:type="dxa"/>
            <w:tcBorders/>
            <w:vAlign w:val="center"/>
          </w:tcPr>
          <w:p>
            <w:pPr>
              <w:pStyle w:val="TableContents"/>
              <w:bidi w:val="0"/>
              <w:spacing w:before="0" w:after="283"/>
              <w:jc w:val="left"/>
              <w:rPr/>
            </w:pPr>
            <w:r>
              <w:rPr/>
              <w:t>Capital Stock.</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71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7115" w:type="dxa"/>
            <w:tcBorders/>
            <w:vAlign w:val="center"/>
          </w:tcPr>
          <w:p>
            <w:pPr>
              <w:pStyle w:val="TableContents"/>
              <w:bidi w:val="0"/>
              <w:spacing w:before="0" w:after="283"/>
              <w:jc w:val="left"/>
              <w:rPr/>
            </w:pPr>
            <w:r>
              <w:rPr/>
              <w:t>No Breach</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7115" w:type="dxa"/>
            <w:tcBorders/>
            <w:vAlign w:val="center"/>
          </w:tcPr>
          <w:p>
            <w:pPr>
              <w:pStyle w:val="TableContents"/>
              <w:bidi w:val="0"/>
              <w:spacing w:before="0" w:after="283"/>
              <w:jc w:val="left"/>
              <w:rPr/>
            </w:pPr>
            <w:r>
              <w:rPr/>
              <w:t>Consents,etc.</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7115" w:type="dxa"/>
            <w:tcBorders/>
            <w:vAlign w:val="center"/>
          </w:tcPr>
          <w:p>
            <w:pPr>
              <w:pStyle w:val="TableContents"/>
              <w:bidi w:val="0"/>
              <w:spacing w:before="0" w:after="283"/>
              <w:jc w:val="left"/>
              <w:rPr/>
            </w:pPr>
            <w:r>
              <w:rPr/>
              <w:t>SEC Reports; Disclosure Controls and Procedures</w:t>
            </w:r>
          </w:p>
        </w:tc>
        <w:tc>
          <w:tcPr>
            <w:tcW w:w="275" w:type="dxa"/>
            <w:tcBorders/>
            <w:vAlign w:val="center"/>
          </w:tcPr>
          <w:p>
            <w:pPr>
              <w:pStyle w:val="TableContents"/>
              <w:bidi w:val="0"/>
              <w:spacing w:before="0" w:after="283"/>
              <w:jc w:val="right"/>
              <w:rPr/>
            </w:pPr>
            <w:r>
              <w:rPr/>
              <w:t>32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7115"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7115" w:type="dxa"/>
            <w:tcBorders/>
            <w:vAlign w:val="center"/>
          </w:tcPr>
          <w:p>
            <w:pPr>
              <w:pStyle w:val="TableContents"/>
              <w:bidi w:val="0"/>
              <w:spacing w:before="0" w:after="283"/>
              <w:jc w:val="left"/>
              <w:rPr/>
            </w:pPr>
            <w:r>
              <w:rPr/>
              <w:t>Absence of Certain Developments</w:t>
            </w:r>
          </w:p>
        </w:tc>
        <w:tc>
          <w:tcPr>
            <w:tcW w:w="275" w:type="dxa"/>
            <w:tcBorders/>
            <w:vAlign w:val="center"/>
          </w:tcPr>
          <w:p>
            <w:pPr>
              <w:pStyle w:val="TableContents"/>
              <w:bidi w:val="0"/>
              <w:spacing w:before="0" w:after="283"/>
              <w:jc w:val="right"/>
              <w:rPr/>
            </w:pPr>
            <w:r>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7115" w:type="dxa"/>
            <w:tcBorders/>
            <w:vAlign w:val="center"/>
          </w:tcPr>
          <w:p>
            <w:pPr>
              <w:pStyle w:val="TableContents"/>
              <w:bidi w:val="0"/>
              <w:spacing w:before="0" w:after="283"/>
              <w:jc w:val="left"/>
              <w:rPr/>
            </w:pPr>
            <w:r>
              <w:rPr/>
              <w:t>Title to Properties</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71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7115" w:type="dxa"/>
            <w:tcBorders/>
            <w:vAlign w:val="center"/>
          </w:tcPr>
          <w:p>
            <w:pPr>
              <w:pStyle w:val="TableContents"/>
              <w:bidi w:val="0"/>
              <w:spacing w:before="0" w:after="283"/>
              <w:jc w:val="left"/>
              <w:rPr/>
            </w:pPr>
            <w:r>
              <w:rPr/>
              <w:t>Contracts and Commitments</w:t>
            </w:r>
          </w:p>
        </w:tc>
        <w:tc>
          <w:tcPr>
            <w:tcW w:w="275" w:type="dxa"/>
            <w:tcBorders/>
            <w:vAlign w:val="center"/>
          </w:tcPr>
          <w:p>
            <w:pPr>
              <w:pStyle w:val="TableContents"/>
              <w:bidi w:val="0"/>
              <w:spacing w:before="0" w:after="283"/>
              <w:jc w:val="right"/>
              <w:rPr/>
            </w:pPr>
            <w:r>
              <w:rPr/>
              <w:t>37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7115"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39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7115" w:type="dxa"/>
            <w:tcBorders/>
            <w:vAlign w:val="center"/>
          </w:tcPr>
          <w:p>
            <w:pPr>
              <w:pStyle w:val="TableContents"/>
              <w:bidi w:val="0"/>
              <w:spacing w:before="0" w:after="283"/>
              <w:jc w:val="left"/>
              <w:rPr/>
            </w:pPr>
            <w:r>
              <w:rPr/>
              <w:t>Data Privacy</w:t>
            </w:r>
          </w:p>
        </w:tc>
        <w:tc>
          <w:tcPr>
            <w:tcW w:w="275" w:type="dxa"/>
            <w:tcBorders/>
            <w:vAlign w:val="center"/>
          </w:tcPr>
          <w:p>
            <w:pPr>
              <w:pStyle w:val="TableContents"/>
              <w:bidi w:val="0"/>
              <w:spacing w:before="0" w:after="283"/>
              <w:jc w:val="right"/>
              <w:rPr/>
            </w:pPr>
            <w:r>
              <w:rPr/>
              <w:t>41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7115"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7115"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71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42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7115" w:type="dxa"/>
            <w:tcBorders/>
            <w:vAlign w:val="center"/>
          </w:tcPr>
          <w:p>
            <w:pPr>
              <w:pStyle w:val="TableContents"/>
              <w:bidi w:val="0"/>
              <w:spacing w:before="0" w:after="283"/>
              <w:jc w:val="left"/>
              <w:rPr/>
            </w:pPr>
            <w:r>
              <w:rPr/>
              <w:t>Compliance with Law; Permits; Anti-Corruption Laws</w:t>
            </w:r>
          </w:p>
        </w:tc>
        <w:tc>
          <w:tcPr>
            <w:tcW w:w="275" w:type="dxa"/>
            <w:tcBorders/>
            <w:vAlign w:val="center"/>
          </w:tcPr>
          <w:p>
            <w:pPr>
              <w:pStyle w:val="TableContents"/>
              <w:bidi w:val="0"/>
              <w:spacing w:before="0" w:after="283"/>
              <w:jc w:val="right"/>
              <w:rPr/>
            </w:pPr>
            <w:r>
              <w:rPr/>
              <w:t>44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7115" w:type="dxa"/>
            <w:tcBorders/>
            <w:vAlign w:val="center"/>
          </w:tcPr>
          <w:p>
            <w:pPr>
              <w:pStyle w:val="TableContents"/>
              <w:bidi w:val="0"/>
              <w:spacing w:before="0" w:after="283"/>
              <w:jc w:val="left"/>
              <w:rPr/>
            </w:pPr>
            <w:r>
              <w:rPr/>
              <w:t>Trade Laws</w:t>
            </w:r>
          </w:p>
        </w:tc>
        <w:tc>
          <w:tcPr>
            <w:tcW w:w="275" w:type="dxa"/>
            <w:tcBorders/>
            <w:vAlign w:val="center"/>
          </w:tcPr>
          <w:p>
            <w:pPr>
              <w:pStyle w:val="TableContents"/>
              <w:bidi w:val="0"/>
              <w:spacing w:before="0" w:after="283"/>
              <w:jc w:val="right"/>
              <w:rPr/>
            </w:pPr>
            <w:r>
              <w:rPr/>
              <w:t>45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19" w:type="dxa"/>
        <w:jc w:val="left"/>
        <w:tblInd w:w="0" w:type="dxa"/>
        <w:tblLayout w:type="fixed"/>
        <w:tblCellMar>
          <w:top w:w="0" w:type="dxa"/>
          <w:left w:w="0" w:type="dxa"/>
          <w:bottom w:w="0" w:type="dxa"/>
          <w:right w:w="0" w:type="dxa"/>
        </w:tblCellMar>
      </w:tblPr>
      <w:tblGrid>
        <w:gridCol w:w="504"/>
        <w:gridCol w:w="6640"/>
        <w:gridCol w:w="275"/>
      </w:tblGrid>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6640" w:type="dxa"/>
            <w:tcBorders/>
            <w:vAlign w:val="center"/>
          </w:tcPr>
          <w:p>
            <w:pPr>
              <w:pStyle w:val="TableContents"/>
              <w:bidi w:val="0"/>
              <w:spacing w:before="0" w:after="283"/>
              <w:jc w:val="left"/>
              <w:rPr/>
            </w:pPr>
            <w:r>
              <w:rPr/>
              <w:t>Environmental Compliance and Conditions</w:t>
            </w:r>
          </w:p>
        </w:tc>
        <w:tc>
          <w:tcPr>
            <w:tcW w:w="275" w:type="dxa"/>
            <w:tcBorders/>
            <w:vAlign w:val="center"/>
          </w:tcPr>
          <w:p>
            <w:pPr>
              <w:pStyle w:val="TableContents"/>
              <w:bidi w:val="0"/>
              <w:spacing w:before="0" w:after="283"/>
              <w:jc w:val="right"/>
              <w:rPr/>
            </w:pPr>
            <w:r>
              <w:rPr/>
              <w:t>46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640" w:type="dxa"/>
            <w:tcBorders/>
            <w:vAlign w:val="center"/>
          </w:tcPr>
          <w:p>
            <w:pPr>
              <w:pStyle w:val="TableContents"/>
              <w:bidi w:val="0"/>
              <w:spacing w:before="0" w:after="283"/>
              <w:jc w:val="left"/>
              <w:rPr/>
            </w:pPr>
            <w:r>
              <w:rPr/>
              <w:t>Employment and Labor Matters</w:t>
            </w:r>
          </w:p>
        </w:tc>
        <w:tc>
          <w:tcPr>
            <w:tcW w:w="275" w:type="dxa"/>
            <w:tcBorders/>
            <w:vAlign w:val="center"/>
          </w:tcPr>
          <w:p>
            <w:pPr>
              <w:pStyle w:val="TableContents"/>
              <w:bidi w:val="0"/>
              <w:spacing w:before="0" w:after="283"/>
              <w:jc w:val="right"/>
              <w:rPr/>
            </w:pPr>
            <w:r>
              <w:rPr/>
              <w:t>46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640" w:type="dxa"/>
            <w:tcBorders/>
            <w:vAlign w:val="center"/>
          </w:tcPr>
          <w:p>
            <w:pPr>
              <w:pStyle w:val="TableContents"/>
              <w:bidi w:val="0"/>
              <w:spacing w:before="0" w:after="283"/>
              <w:jc w:val="left"/>
              <w:rPr/>
            </w:pPr>
            <w:r>
              <w:rPr/>
              <w:t>FDA and Regulatory Matters</w:t>
            </w:r>
          </w:p>
        </w:tc>
        <w:tc>
          <w:tcPr>
            <w:tcW w:w="275" w:type="dxa"/>
            <w:tcBorders/>
            <w:vAlign w:val="center"/>
          </w:tcPr>
          <w:p>
            <w:pPr>
              <w:pStyle w:val="TableContents"/>
              <w:bidi w:val="0"/>
              <w:spacing w:before="0" w:after="283"/>
              <w:jc w:val="right"/>
              <w:rPr/>
            </w:pPr>
            <w:r>
              <w:rPr/>
              <w:t>47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6640"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51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640" w:type="dxa"/>
            <w:tcBorders/>
            <w:vAlign w:val="center"/>
          </w:tcPr>
          <w:p>
            <w:pPr>
              <w:pStyle w:val="TableContents"/>
              <w:bidi w:val="0"/>
              <w:spacing w:before="0" w:after="283"/>
              <w:jc w:val="left"/>
              <w:rPr/>
            </w:pPr>
            <w:r>
              <w:rPr/>
              <w:t>Brokerage</w:t>
            </w:r>
          </w:p>
        </w:tc>
        <w:tc>
          <w:tcPr>
            <w:tcW w:w="275" w:type="dxa"/>
            <w:tcBorders/>
            <w:vAlign w:val="center"/>
          </w:tcPr>
          <w:p>
            <w:pPr>
              <w:pStyle w:val="TableContents"/>
              <w:bidi w:val="0"/>
              <w:spacing w:before="0" w:after="283"/>
              <w:jc w:val="right"/>
              <w:rPr/>
            </w:pPr>
            <w:r>
              <w:rPr/>
              <w:t>51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6640" w:type="dxa"/>
            <w:tcBorders/>
            <w:vAlign w:val="center"/>
          </w:tcPr>
          <w:p>
            <w:pPr>
              <w:pStyle w:val="TableContents"/>
              <w:bidi w:val="0"/>
              <w:spacing w:before="0" w:after="283"/>
              <w:jc w:val="left"/>
              <w:rPr/>
            </w:pPr>
            <w:r>
              <w:rPr/>
              <w:t>Disclosure</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6640" w:type="dxa"/>
            <w:tcBorders/>
            <w:vAlign w:val="center"/>
          </w:tcPr>
          <w:p>
            <w:pPr>
              <w:pStyle w:val="TableContents"/>
              <w:bidi w:val="0"/>
              <w:spacing w:before="0" w:after="283"/>
              <w:jc w:val="left"/>
              <w:rPr/>
            </w:pPr>
            <w:r>
              <w:rPr/>
              <w:t>Board Approval; Vote Required</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3.27</w:t>
            </w:r>
          </w:p>
        </w:tc>
        <w:tc>
          <w:tcPr>
            <w:tcW w:w="6640" w:type="dxa"/>
            <w:tcBorders/>
            <w:vAlign w:val="center"/>
          </w:tcPr>
          <w:p>
            <w:pPr>
              <w:pStyle w:val="TableContents"/>
              <w:bidi w:val="0"/>
              <w:spacing w:before="0" w:after="283"/>
              <w:jc w:val="left"/>
              <w:rPr/>
            </w:pPr>
            <w:r>
              <w:rPr/>
              <w:t>Takeover Statute</w:t>
            </w:r>
          </w:p>
        </w:tc>
        <w:tc>
          <w:tcPr>
            <w:tcW w:w="275" w:type="dxa"/>
            <w:tcBorders/>
            <w:vAlign w:val="center"/>
          </w:tcPr>
          <w:p>
            <w:pPr>
              <w:pStyle w:val="TableContents"/>
              <w:bidi w:val="0"/>
              <w:spacing w:before="0" w:after="283"/>
              <w:jc w:val="right"/>
              <w:rPr/>
            </w:pPr>
            <w:r>
              <w:rPr/>
              <w:t>52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w:t>
            </w:r>
          </w:p>
        </w:tc>
        <w:tc>
          <w:tcPr>
            <w:tcW w:w="6640" w:type="dxa"/>
            <w:tcBorders/>
            <w:vAlign w:val="center"/>
          </w:tcPr>
          <w:p>
            <w:pPr>
              <w:pStyle w:val="TableContents"/>
              <w:bidi w:val="0"/>
              <w:spacing w:before="0" w:after="283"/>
              <w:jc w:val="left"/>
              <w:rPr/>
            </w:pPr>
            <w:r>
              <w:rPr/>
              <w:t>Opinion of Supernus’ Financial Advisor</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3.29</w:t>
            </w:r>
          </w:p>
        </w:tc>
        <w:tc>
          <w:tcPr>
            <w:tcW w:w="6640" w:type="dxa"/>
            <w:tcBorders/>
            <w:vAlign w:val="center"/>
          </w:tcPr>
          <w:p>
            <w:pPr>
              <w:pStyle w:val="TableContents"/>
              <w:bidi w:val="0"/>
              <w:spacing w:before="0" w:after="283"/>
              <w:jc w:val="left"/>
              <w:rPr/>
            </w:pPr>
            <w:r>
              <w:rPr/>
              <w:t>No Other Representations and Warranties</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Indivior AND MERGER SUB</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640" w:type="dxa"/>
            <w:tcBorders/>
            <w:vAlign w:val="center"/>
          </w:tcPr>
          <w:p>
            <w:pPr>
              <w:pStyle w:val="TableContents"/>
              <w:bidi w:val="0"/>
              <w:spacing w:before="0" w:after="283"/>
              <w:jc w:val="left"/>
              <w:rPr/>
            </w:pPr>
            <w:r>
              <w:rPr/>
              <w:t>Organization and Corporate Power</w:t>
            </w:r>
          </w:p>
        </w:tc>
        <w:tc>
          <w:tcPr>
            <w:tcW w:w="275" w:type="dxa"/>
            <w:tcBorders/>
            <w:vAlign w:val="center"/>
          </w:tcPr>
          <w:p>
            <w:pPr>
              <w:pStyle w:val="TableContents"/>
              <w:bidi w:val="0"/>
              <w:spacing w:before="0" w:after="283"/>
              <w:jc w:val="right"/>
              <w:rPr/>
            </w:pPr>
            <w:r>
              <w:rPr/>
              <w:t>53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640" w:type="dxa"/>
            <w:tcBorders/>
            <w:vAlign w:val="center"/>
          </w:tcPr>
          <w:p>
            <w:pPr>
              <w:pStyle w:val="TableContents"/>
              <w:bidi w:val="0"/>
              <w:spacing w:before="0" w:after="283"/>
              <w:jc w:val="left"/>
              <w:rPr/>
            </w:pPr>
            <w:r>
              <w:rPr/>
              <w:t>Authorization; Valid and Binding Agreement</w:t>
            </w:r>
          </w:p>
        </w:tc>
        <w:tc>
          <w:tcPr>
            <w:tcW w:w="275" w:type="dxa"/>
            <w:tcBorders/>
            <w:vAlign w:val="center"/>
          </w:tcPr>
          <w:p>
            <w:pPr>
              <w:pStyle w:val="TableContents"/>
              <w:bidi w:val="0"/>
              <w:spacing w:before="0" w:after="283"/>
              <w:jc w:val="right"/>
              <w:rPr/>
            </w:pPr>
            <w:r>
              <w:rPr/>
              <w:t>54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640" w:type="dxa"/>
            <w:tcBorders/>
            <w:vAlign w:val="center"/>
          </w:tcPr>
          <w:p>
            <w:pPr>
              <w:pStyle w:val="TableContents"/>
              <w:bidi w:val="0"/>
              <w:spacing w:before="0" w:after="283"/>
              <w:jc w:val="left"/>
              <w:rPr/>
            </w:pPr>
            <w:r>
              <w:rPr/>
              <w:t>Capital Stock</w:t>
            </w:r>
          </w:p>
        </w:tc>
        <w:tc>
          <w:tcPr>
            <w:tcW w:w="275" w:type="dxa"/>
            <w:tcBorders/>
            <w:vAlign w:val="center"/>
          </w:tcPr>
          <w:p>
            <w:pPr>
              <w:pStyle w:val="TableContents"/>
              <w:bidi w:val="0"/>
              <w:spacing w:before="0" w:after="283"/>
              <w:jc w:val="right"/>
              <w:rPr/>
            </w:pPr>
            <w:r>
              <w:rPr/>
              <w:t>54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640"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55</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640" w:type="dxa"/>
            <w:tcBorders/>
            <w:vAlign w:val="center"/>
          </w:tcPr>
          <w:p>
            <w:pPr>
              <w:pStyle w:val="TableContents"/>
              <w:bidi w:val="0"/>
              <w:spacing w:before="0" w:after="283"/>
              <w:jc w:val="left"/>
              <w:rPr/>
            </w:pPr>
            <w:r>
              <w:rPr/>
              <w:t>No Breach</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640" w:type="dxa"/>
            <w:tcBorders/>
            <w:vAlign w:val="center"/>
          </w:tcPr>
          <w:p>
            <w:pPr>
              <w:pStyle w:val="TableContents"/>
              <w:bidi w:val="0"/>
              <w:spacing w:before="0" w:after="283"/>
              <w:jc w:val="left"/>
              <w:rPr/>
            </w:pPr>
            <w:r>
              <w:rPr/>
              <w:t>Consents, etc.</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640" w:type="dxa"/>
            <w:tcBorders/>
            <w:vAlign w:val="center"/>
          </w:tcPr>
          <w:p>
            <w:pPr>
              <w:pStyle w:val="TableContents"/>
              <w:bidi w:val="0"/>
              <w:spacing w:before="0" w:after="283"/>
              <w:jc w:val="left"/>
              <w:rPr/>
            </w:pPr>
            <w:r>
              <w:rPr/>
              <w:t>SEC Reports; Disclosure Controls and Procedures</w:t>
            </w:r>
          </w:p>
        </w:tc>
        <w:tc>
          <w:tcPr>
            <w:tcW w:w="275" w:type="dxa"/>
            <w:tcBorders/>
            <w:vAlign w:val="center"/>
          </w:tcPr>
          <w:p>
            <w:pPr>
              <w:pStyle w:val="TableContents"/>
              <w:bidi w:val="0"/>
              <w:spacing w:before="0" w:after="283"/>
              <w:jc w:val="right"/>
              <w:rPr/>
            </w:pPr>
            <w:r>
              <w:rPr/>
              <w:t>56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640"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58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640" w:type="dxa"/>
            <w:tcBorders/>
            <w:vAlign w:val="center"/>
          </w:tcPr>
          <w:p>
            <w:pPr>
              <w:pStyle w:val="TableContents"/>
              <w:bidi w:val="0"/>
              <w:spacing w:before="0" w:after="283"/>
              <w:jc w:val="left"/>
              <w:rPr/>
            </w:pPr>
            <w:r>
              <w:rPr/>
              <w:t>Absence of Certain Developments</w:t>
            </w:r>
          </w:p>
        </w:tc>
        <w:tc>
          <w:tcPr>
            <w:tcW w:w="275" w:type="dxa"/>
            <w:tcBorders/>
            <w:vAlign w:val="center"/>
          </w:tcPr>
          <w:p>
            <w:pPr>
              <w:pStyle w:val="TableContents"/>
              <w:bidi w:val="0"/>
              <w:spacing w:before="0" w:after="283"/>
              <w:jc w:val="right"/>
              <w:rPr/>
            </w:pPr>
            <w:r>
              <w:rPr/>
              <w:t>58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640" w:type="dxa"/>
            <w:tcBorders/>
            <w:vAlign w:val="center"/>
          </w:tcPr>
          <w:p>
            <w:pPr>
              <w:pStyle w:val="TableContents"/>
              <w:bidi w:val="0"/>
              <w:spacing w:before="0" w:after="283"/>
              <w:jc w:val="left"/>
              <w:rPr/>
            </w:pPr>
            <w:r>
              <w:rPr/>
              <w:t>Title to Properties</w:t>
            </w:r>
          </w:p>
        </w:tc>
        <w:tc>
          <w:tcPr>
            <w:tcW w:w="275" w:type="dxa"/>
            <w:tcBorders/>
            <w:vAlign w:val="center"/>
          </w:tcPr>
          <w:p>
            <w:pPr>
              <w:pStyle w:val="TableContents"/>
              <w:bidi w:val="0"/>
              <w:spacing w:before="0" w:after="283"/>
              <w:jc w:val="right"/>
              <w:rPr/>
            </w:pPr>
            <w:r>
              <w:rPr/>
              <w:t>60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640"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61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640" w:type="dxa"/>
            <w:tcBorders/>
            <w:vAlign w:val="center"/>
          </w:tcPr>
          <w:p>
            <w:pPr>
              <w:pStyle w:val="TableContents"/>
              <w:bidi w:val="0"/>
              <w:spacing w:before="0" w:after="283"/>
              <w:jc w:val="left"/>
              <w:rPr/>
            </w:pPr>
            <w:r>
              <w:rPr/>
              <w:t>Contracts and Commitments</w:t>
            </w:r>
          </w:p>
        </w:tc>
        <w:tc>
          <w:tcPr>
            <w:tcW w:w="275" w:type="dxa"/>
            <w:tcBorders/>
            <w:vAlign w:val="center"/>
          </w:tcPr>
          <w:p>
            <w:pPr>
              <w:pStyle w:val="TableContents"/>
              <w:bidi w:val="0"/>
              <w:spacing w:before="0" w:after="283"/>
              <w:jc w:val="right"/>
              <w:rPr/>
            </w:pPr>
            <w:r>
              <w:rPr/>
              <w:t>62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640"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64</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640" w:type="dxa"/>
            <w:tcBorders/>
            <w:vAlign w:val="center"/>
          </w:tcPr>
          <w:p>
            <w:pPr>
              <w:pStyle w:val="TableContents"/>
              <w:bidi w:val="0"/>
              <w:spacing w:before="0" w:after="283"/>
              <w:jc w:val="left"/>
              <w:rPr/>
            </w:pPr>
            <w:r>
              <w:rPr/>
              <w:t>Data Privacy</w:t>
            </w:r>
          </w:p>
        </w:tc>
        <w:tc>
          <w:tcPr>
            <w:tcW w:w="275" w:type="dxa"/>
            <w:tcBorders/>
            <w:vAlign w:val="center"/>
          </w:tcPr>
          <w:p>
            <w:pPr>
              <w:pStyle w:val="TableContents"/>
              <w:bidi w:val="0"/>
              <w:spacing w:before="0" w:after="283"/>
              <w:jc w:val="right"/>
              <w:rPr/>
            </w:pPr>
            <w:r>
              <w:rPr/>
              <w:t>66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640"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67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640"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67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640"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68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640" w:type="dxa"/>
            <w:tcBorders/>
            <w:vAlign w:val="center"/>
          </w:tcPr>
          <w:p>
            <w:pPr>
              <w:pStyle w:val="TableContents"/>
              <w:bidi w:val="0"/>
              <w:spacing w:before="0" w:after="283"/>
              <w:jc w:val="left"/>
              <w:rPr/>
            </w:pPr>
            <w:r>
              <w:rPr/>
              <w:t>Compliance with Law; Permits; Anti-Corruption Laws</w:t>
            </w:r>
          </w:p>
        </w:tc>
        <w:tc>
          <w:tcPr>
            <w:tcW w:w="275" w:type="dxa"/>
            <w:tcBorders/>
            <w:vAlign w:val="center"/>
          </w:tcPr>
          <w:p>
            <w:pPr>
              <w:pStyle w:val="TableContents"/>
              <w:bidi w:val="0"/>
              <w:spacing w:before="0" w:after="283"/>
              <w:jc w:val="right"/>
              <w:rPr/>
            </w:pPr>
            <w:r>
              <w:rPr/>
              <w:t>70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640" w:type="dxa"/>
            <w:tcBorders/>
            <w:vAlign w:val="center"/>
          </w:tcPr>
          <w:p>
            <w:pPr>
              <w:pStyle w:val="TableContents"/>
              <w:bidi w:val="0"/>
              <w:spacing w:before="0" w:after="283"/>
              <w:jc w:val="left"/>
              <w:rPr/>
            </w:pPr>
            <w:r>
              <w:rPr/>
              <w:t>Trade Laws</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6640" w:type="dxa"/>
            <w:tcBorders/>
            <w:vAlign w:val="center"/>
          </w:tcPr>
          <w:p>
            <w:pPr>
              <w:pStyle w:val="TableContents"/>
              <w:bidi w:val="0"/>
              <w:spacing w:before="0" w:after="283"/>
              <w:jc w:val="left"/>
              <w:rPr/>
            </w:pPr>
            <w:r>
              <w:rPr/>
              <w:t>FTC Order</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6640" w:type="dxa"/>
            <w:tcBorders/>
            <w:vAlign w:val="center"/>
          </w:tcPr>
          <w:p>
            <w:pPr>
              <w:pStyle w:val="TableContents"/>
              <w:bidi w:val="0"/>
              <w:spacing w:before="0" w:after="283"/>
              <w:jc w:val="left"/>
              <w:rPr/>
            </w:pPr>
            <w:r>
              <w:rPr/>
              <w:t>Environmental Compliance and Conditions</w:t>
            </w:r>
          </w:p>
        </w:tc>
        <w:tc>
          <w:tcPr>
            <w:tcW w:w="275" w:type="dxa"/>
            <w:tcBorders/>
            <w:vAlign w:val="center"/>
          </w:tcPr>
          <w:p>
            <w:pPr>
              <w:pStyle w:val="TableContents"/>
              <w:bidi w:val="0"/>
              <w:spacing w:before="0" w:after="283"/>
              <w:jc w:val="right"/>
              <w:rPr/>
            </w:pPr>
            <w:r>
              <w:rPr/>
              <w:t>71</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6640" w:type="dxa"/>
            <w:tcBorders/>
            <w:vAlign w:val="center"/>
          </w:tcPr>
          <w:p>
            <w:pPr>
              <w:pStyle w:val="TableContents"/>
              <w:bidi w:val="0"/>
              <w:spacing w:before="0" w:after="283"/>
              <w:jc w:val="left"/>
              <w:rPr/>
            </w:pPr>
            <w:r>
              <w:rPr/>
              <w:t>Employment and Labor Matters</w:t>
            </w:r>
          </w:p>
        </w:tc>
        <w:tc>
          <w:tcPr>
            <w:tcW w:w="275" w:type="dxa"/>
            <w:tcBorders/>
            <w:vAlign w:val="center"/>
          </w:tcPr>
          <w:p>
            <w:pPr>
              <w:pStyle w:val="TableContents"/>
              <w:bidi w:val="0"/>
              <w:spacing w:before="0" w:after="283"/>
              <w:jc w:val="right"/>
              <w:rPr/>
            </w:pPr>
            <w:r>
              <w:rPr/>
              <w:t>72</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6640" w:type="dxa"/>
            <w:tcBorders/>
            <w:vAlign w:val="center"/>
          </w:tcPr>
          <w:p>
            <w:pPr>
              <w:pStyle w:val="TableContents"/>
              <w:bidi w:val="0"/>
              <w:spacing w:before="0" w:after="283"/>
              <w:jc w:val="left"/>
              <w:rPr/>
            </w:pPr>
            <w:r>
              <w:rPr/>
              <w:t>FDA and Regulatory Matters</w:t>
            </w:r>
          </w:p>
        </w:tc>
        <w:tc>
          <w:tcPr>
            <w:tcW w:w="275" w:type="dxa"/>
            <w:tcBorders/>
            <w:vAlign w:val="center"/>
          </w:tcPr>
          <w:p>
            <w:pPr>
              <w:pStyle w:val="TableContents"/>
              <w:bidi w:val="0"/>
              <w:spacing w:before="0" w:after="283"/>
              <w:jc w:val="right"/>
              <w:rPr/>
            </w:pPr>
            <w:r>
              <w:rPr/>
              <w:t>73</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6640"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76</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6640" w:type="dxa"/>
            <w:tcBorders/>
            <w:vAlign w:val="center"/>
          </w:tcPr>
          <w:p>
            <w:pPr>
              <w:pStyle w:val="TableContents"/>
              <w:bidi w:val="0"/>
              <w:spacing w:before="0" w:after="283"/>
              <w:jc w:val="left"/>
              <w:rPr/>
            </w:pPr>
            <w:r>
              <w:rPr/>
              <w:t>Brokerage</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6640" w:type="dxa"/>
            <w:tcBorders/>
            <w:vAlign w:val="center"/>
          </w:tcPr>
          <w:p>
            <w:pPr>
              <w:pStyle w:val="TableContents"/>
              <w:bidi w:val="0"/>
              <w:spacing w:before="0" w:after="283"/>
              <w:jc w:val="left"/>
              <w:rPr/>
            </w:pPr>
            <w:r>
              <w:rPr/>
              <w:t>Disclosure</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6640" w:type="dxa"/>
            <w:tcBorders/>
            <w:vAlign w:val="center"/>
          </w:tcPr>
          <w:p>
            <w:pPr>
              <w:pStyle w:val="TableContents"/>
              <w:bidi w:val="0"/>
              <w:spacing w:before="0" w:after="283"/>
              <w:jc w:val="left"/>
              <w:rPr/>
            </w:pPr>
            <w:r>
              <w:rPr/>
              <w:t>Board Approval; Vote Required</w:t>
            </w:r>
          </w:p>
        </w:tc>
        <w:tc>
          <w:tcPr>
            <w:tcW w:w="275" w:type="dxa"/>
            <w:tcBorders/>
            <w:vAlign w:val="center"/>
          </w:tcPr>
          <w:p>
            <w:pPr>
              <w:pStyle w:val="TableContents"/>
              <w:bidi w:val="0"/>
              <w:spacing w:before="0" w:after="283"/>
              <w:jc w:val="right"/>
              <w:rPr/>
            </w:pPr>
            <w:r>
              <w:rPr/>
              <w:t>77</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w:t>
            </w:r>
          </w:p>
        </w:tc>
        <w:tc>
          <w:tcPr>
            <w:tcW w:w="6640" w:type="dxa"/>
            <w:tcBorders/>
            <w:vAlign w:val="center"/>
          </w:tcPr>
          <w:p>
            <w:pPr>
              <w:pStyle w:val="TableContents"/>
              <w:bidi w:val="0"/>
              <w:spacing w:before="0" w:after="283"/>
              <w:jc w:val="left"/>
              <w:rPr/>
            </w:pPr>
            <w:r>
              <w:rPr/>
              <w:t>Takeover Statute</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4.29</w:t>
            </w:r>
          </w:p>
        </w:tc>
        <w:tc>
          <w:tcPr>
            <w:tcW w:w="6640" w:type="dxa"/>
            <w:tcBorders/>
            <w:vAlign w:val="center"/>
          </w:tcPr>
          <w:p>
            <w:pPr>
              <w:pStyle w:val="TableContents"/>
              <w:bidi w:val="0"/>
              <w:spacing w:before="0" w:after="283"/>
              <w:jc w:val="left"/>
              <w:rPr/>
            </w:pPr>
            <w:r>
              <w:rPr/>
              <w:t>Opinions of Indivior’s Financial Advisors</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w:t>
            </w:r>
          </w:p>
        </w:tc>
        <w:tc>
          <w:tcPr>
            <w:tcW w:w="6640"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w:t>
            </w:r>
          </w:p>
        </w:tc>
        <w:tc>
          <w:tcPr>
            <w:tcW w:w="664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78</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4.32</w:t>
            </w:r>
          </w:p>
        </w:tc>
        <w:tc>
          <w:tcPr>
            <w:tcW w:w="6640" w:type="dxa"/>
            <w:tcBorders/>
            <w:vAlign w:val="center"/>
          </w:tcPr>
          <w:p>
            <w:pPr>
              <w:pStyle w:val="TableContents"/>
              <w:bidi w:val="0"/>
              <w:spacing w:before="0" w:after="283"/>
              <w:jc w:val="left"/>
              <w:rPr/>
            </w:pPr>
            <w:r>
              <w:rPr/>
              <w:t>No Other Representations and Warranties</w:t>
            </w:r>
          </w:p>
        </w:tc>
        <w:tc>
          <w:tcPr>
            <w:tcW w:w="275" w:type="dxa"/>
            <w:tcBorders/>
            <w:vAlign w:val="center"/>
          </w:tcPr>
          <w:p>
            <w:pPr>
              <w:pStyle w:val="TableContents"/>
              <w:bidi w:val="0"/>
              <w:spacing w:before="0" w:after="283"/>
              <w:jc w:val="right"/>
              <w:rPr/>
            </w:pPr>
            <w:r>
              <w:rPr/>
              <w:t>79</w:t>
            </w:r>
          </w:p>
        </w:tc>
      </w:tr>
      <w:tr>
        <w:trPr/>
        <w:tc>
          <w:tcPr>
            <w:tcW w:w="504"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 RELATING TO CONDUCT OF BUSINESS</w:t>
            </w:r>
          </w:p>
        </w:tc>
        <w:tc>
          <w:tcPr>
            <w:tcW w:w="275" w:type="dxa"/>
            <w:tcBorders/>
            <w:vAlign w:val="center"/>
          </w:tcPr>
          <w:p>
            <w:pPr>
              <w:pStyle w:val="TableContents"/>
              <w:bidi w:val="0"/>
              <w:spacing w:before="0" w:after="283"/>
              <w:jc w:val="right"/>
              <w:rPr/>
            </w:pPr>
            <w:r>
              <w:rPr/>
              <w:t>80</w:t>
            </w:r>
          </w:p>
        </w:tc>
      </w:tr>
      <w:tr>
        <w:trPr/>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640" w:type="dxa"/>
            <w:tcBorders/>
            <w:vAlign w:val="center"/>
          </w:tcPr>
          <w:p>
            <w:pPr>
              <w:pStyle w:val="TableContents"/>
              <w:bidi w:val="0"/>
              <w:spacing w:before="0" w:after="283"/>
              <w:jc w:val="left"/>
              <w:rPr/>
            </w:pPr>
            <w:r>
              <w:rPr/>
              <w:t>Covenants of Supernus</w:t>
            </w:r>
          </w:p>
        </w:tc>
        <w:tc>
          <w:tcPr>
            <w:tcW w:w="275" w:type="dxa"/>
            <w:tcBorders/>
            <w:vAlign w:val="center"/>
          </w:tcPr>
          <w:p>
            <w:pPr>
              <w:pStyle w:val="TableContents"/>
              <w:bidi w:val="0"/>
              <w:spacing w:before="0" w:after="283"/>
              <w:jc w:val="right"/>
              <w:rPr/>
            </w:pPr>
            <w:r>
              <w:rPr/>
              <w:t>80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55" w:type="dxa"/>
        <w:jc w:val="left"/>
        <w:tblInd w:w="0" w:type="dxa"/>
        <w:tblLayout w:type="fixed"/>
        <w:tblCellMar>
          <w:top w:w="0" w:type="dxa"/>
          <w:left w:w="0" w:type="dxa"/>
          <w:bottom w:w="0" w:type="dxa"/>
          <w:right w:w="0" w:type="dxa"/>
        </w:tblCellMar>
      </w:tblPr>
      <w:tblGrid>
        <w:gridCol w:w="395"/>
        <w:gridCol w:w="6665"/>
        <w:gridCol w:w="3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665" w:type="dxa"/>
            <w:tcBorders/>
            <w:vAlign w:val="center"/>
          </w:tcPr>
          <w:p>
            <w:pPr>
              <w:pStyle w:val="TableContents"/>
              <w:bidi w:val="0"/>
              <w:spacing w:before="0" w:after="283"/>
              <w:jc w:val="left"/>
              <w:rPr/>
            </w:pPr>
            <w:r>
              <w:rPr/>
              <w:t>Covenants of Indivior</w:t>
            </w:r>
          </w:p>
        </w:tc>
        <w:tc>
          <w:tcPr>
            <w:tcW w:w="395" w:type="dxa"/>
            <w:tcBorders/>
            <w:vAlign w:val="center"/>
          </w:tcPr>
          <w:p>
            <w:pPr>
              <w:pStyle w:val="TableContents"/>
              <w:bidi w:val="0"/>
              <w:spacing w:before="0" w:after="283"/>
              <w:jc w:val="right"/>
              <w:rPr/>
            </w:pPr>
            <w:r>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665" w:type="dxa"/>
            <w:tcBorders/>
            <w:vAlign w:val="center"/>
          </w:tcPr>
          <w:p>
            <w:pPr>
              <w:pStyle w:val="TableContents"/>
              <w:bidi w:val="0"/>
              <w:spacing w:before="0" w:after="283"/>
              <w:jc w:val="left"/>
              <w:rPr/>
            </w:pPr>
            <w:r>
              <w:rPr/>
              <w:t>Independent Operation; No Control Prior to Closing</w:t>
            </w:r>
          </w:p>
        </w:tc>
        <w:tc>
          <w:tcPr>
            <w:tcW w:w="395" w:type="dxa"/>
            <w:tcBorders/>
            <w:vAlign w:val="center"/>
          </w:tcPr>
          <w:p>
            <w:pPr>
              <w:pStyle w:val="TableContents"/>
              <w:bidi w:val="0"/>
              <w:spacing w:before="0" w:after="283"/>
              <w:jc w:val="right"/>
              <w:rPr/>
            </w:pPr>
            <w:r>
              <w:rPr/>
              <w:t>87</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ADDITIONAL COVENANTS OF THE PARTIES</w:t>
            </w:r>
          </w:p>
        </w:tc>
        <w:tc>
          <w:tcPr>
            <w:tcW w:w="395" w:type="dxa"/>
            <w:tcBorders/>
            <w:vAlign w:val="center"/>
          </w:tcPr>
          <w:p>
            <w:pPr>
              <w:pStyle w:val="TableContents"/>
              <w:bidi w:val="0"/>
              <w:spacing w:before="0" w:after="283"/>
              <w:jc w:val="right"/>
              <w:rPr/>
            </w:pPr>
            <w:r>
              <w:rPr/>
              <w:t>88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665" w:type="dxa"/>
            <w:tcBorders/>
            <w:vAlign w:val="center"/>
          </w:tcPr>
          <w:p>
            <w:pPr>
              <w:pStyle w:val="TableContents"/>
              <w:bidi w:val="0"/>
              <w:spacing w:before="0" w:after="283"/>
              <w:jc w:val="left"/>
              <w:rPr/>
            </w:pPr>
            <w:r>
              <w:rPr/>
              <w:t>Investigation</w:t>
            </w:r>
          </w:p>
        </w:tc>
        <w:tc>
          <w:tcPr>
            <w:tcW w:w="395" w:type="dxa"/>
            <w:tcBorders/>
            <w:vAlign w:val="center"/>
          </w:tcPr>
          <w:p>
            <w:pPr>
              <w:pStyle w:val="TableContents"/>
              <w:bidi w:val="0"/>
              <w:spacing w:before="0" w:after="283"/>
              <w:jc w:val="right"/>
              <w:rPr/>
            </w:pPr>
            <w:r>
              <w:rPr/>
              <w:t>88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665" w:type="dxa"/>
            <w:tcBorders/>
            <w:vAlign w:val="center"/>
          </w:tcPr>
          <w:p>
            <w:pPr>
              <w:pStyle w:val="TableContents"/>
              <w:bidi w:val="0"/>
              <w:spacing w:before="0" w:after="283"/>
              <w:jc w:val="left"/>
              <w:rPr/>
            </w:pPr>
            <w:r>
              <w:rPr/>
              <w:t>Registration Statement and Proxy Statement for Stockholder Approval</w:t>
            </w:r>
          </w:p>
        </w:tc>
        <w:tc>
          <w:tcPr>
            <w:tcW w:w="395" w:type="dxa"/>
            <w:tcBorders/>
            <w:vAlign w:val="center"/>
          </w:tcPr>
          <w:p>
            <w:pPr>
              <w:pStyle w:val="TableContents"/>
              <w:bidi w:val="0"/>
              <w:spacing w:before="0" w:after="283"/>
              <w:jc w:val="right"/>
              <w:rPr/>
            </w:pPr>
            <w:r>
              <w:rPr/>
              <w:t>89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665" w:type="dxa"/>
            <w:tcBorders/>
            <w:vAlign w:val="center"/>
          </w:tcPr>
          <w:p>
            <w:pPr>
              <w:pStyle w:val="TableContents"/>
              <w:bidi w:val="0"/>
              <w:spacing w:before="0" w:after="283"/>
              <w:jc w:val="left"/>
              <w:rPr/>
            </w:pPr>
            <w:r>
              <w:rPr/>
              <w:t>Stockholders’ Meetings</w:t>
            </w:r>
          </w:p>
        </w:tc>
        <w:tc>
          <w:tcPr>
            <w:tcW w:w="395" w:type="dxa"/>
            <w:tcBorders/>
            <w:vAlign w:val="center"/>
          </w:tcPr>
          <w:p>
            <w:pPr>
              <w:pStyle w:val="TableContents"/>
              <w:bidi w:val="0"/>
              <w:spacing w:before="0" w:after="283"/>
              <w:jc w:val="right"/>
              <w:rPr/>
            </w:pPr>
            <w:r>
              <w:rPr/>
              <w:t>90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665" w:type="dxa"/>
            <w:tcBorders/>
            <w:vAlign w:val="center"/>
          </w:tcPr>
          <w:p>
            <w:pPr>
              <w:pStyle w:val="TableContents"/>
              <w:bidi w:val="0"/>
              <w:spacing w:before="0" w:after="283"/>
              <w:jc w:val="left"/>
              <w:rPr/>
            </w:pPr>
            <w:r>
              <w:rPr/>
              <w:t>Non-Solicitation</w:t>
            </w:r>
          </w:p>
        </w:tc>
        <w:tc>
          <w:tcPr>
            <w:tcW w:w="395" w:type="dxa"/>
            <w:tcBorders/>
            <w:vAlign w:val="center"/>
          </w:tcPr>
          <w:p>
            <w:pPr>
              <w:pStyle w:val="TableContents"/>
              <w:bidi w:val="0"/>
              <w:spacing w:before="0" w:after="283"/>
              <w:jc w:val="right"/>
              <w:rPr/>
            </w:pPr>
            <w:r>
              <w:rPr/>
              <w:t>91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665" w:type="dxa"/>
            <w:tcBorders/>
            <w:vAlign w:val="center"/>
          </w:tcPr>
          <w:p>
            <w:pPr>
              <w:pStyle w:val="TableContents"/>
              <w:bidi w:val="0"/>
              <w:spacing w:before="0" w:after="283"/>
              <w:jc w:val="left"/>
              <w:rPr/>
            </w:pPr>
            <w:r>
              <w:rPr/>
              <w:t>Regulatory Approvals; Additional Agreements</w:t>
            </w:r>
          </w:p>
        </w:tc>
        <w:tc>
          <w:tcPr>
            <w:tcW w:w="395" w:type="dxa"/>
            <w:tcBorders/>
            <w:vAlign w:val="center"/>
          </w:tcPr>
          <w:p>
            <w:pPr>
              <w:pStyle w:val="TableContents"/>
              <w:bidi w:val="0"/>
              <w:spacing w:before="0" w:after="283"/>
              <w:jc w:val="right"/>
              <w:rPr/>
            </w:pPr>
            <w:r>
              <w:rPr/>
              <w:t>96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665" w:type="dxa"/>
            <w:tcBorders/>
            <w:vAlign w:val="center"/>
          </w:tcPr>
          <w:p>
            <w:pPr>
              <w:pStyle w:val="TableContents"/>
              <w:bidi w:val="0"/>
              <w:spacing w:before="0" w:after="283"/>
              <w:jc w:val="left"/>
              <w:rPr/>
            </w:pPr>
            <w:r>
              <w:rPr/>
              <w:t>Employee and Labor Matters</w:t>
            </w:r>
          </w:p>
        </w:tc>
        <w:tc>
          <w:tcPr>
            <w:tcW w:w="395" w:type="dxa"/>
            <w:tcBorders/>
            <w:vAlign w:val="center"/>
          </w:tcPr>
          <w:p>
            <w:pPr>
              <w:pStyle w:val="TableContents"/>
              <w:bidi w:val="0"/>
              <w:spacing w:before="0" w:after="283"/>
              <w:jc w:val="right"/>
              <w:rPr/>
            </w:pPr>
            <w:r>
              <w:rPr/>
              <w:t>98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665" w:type="dxa"/>
            <w:tcBorders/>
            <w:vAlign w:val="center"/>
          </w:tcPr>
          <w:p>
            <w:pPr>
              <w:pStyle w:val="TableContents"/>
              <w:bidi w:val="0"/>
              <w:spacing w:before="0" w:after="283"/>
              <w:jc w:val="left"/>
              <w:rPr/>
            </w:pPr>
            <w:r>
              <w:rPr/>
              <w:t>Indemnification of Officers and Directors</w:t>
            </w:r>
          </w:p>
        </w:tc>
        <w:tc>
          <w:tcPr>
            <w:tcW w:w="395" w:type="dxa"/>
            <w:tcBorders/>
            <w:vAlign w:val="center"/>
          </w:tcPr>
          <w:p>
            <w:pPr>
              <w:pStyle w:val="TableContents"/>
              <w:bidi w:val="0"/>
              <w:spacing w:before="0" w:after="283"/>
              <w:jc w:val="right"/>
              <w:rPr/>
            </w:pPr>
            <w:r>
              <w:rPr/>
              <w:t>104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665" w:type="dxa"/>
            <w:tcBorders/>
            <w:vAlign w:val="center"/>
          </w:tcPr>
          <w:p>
            <w:pPr>
              <w:pStyle w:val="TableContents"/>
              <w:bidi w:val="0"/>
              <w:spacing w:before="0" w:after="283"/>
              <w:jc w:val="left"/>
              <w:rPr/>
            </w:pPr>
            <w:r>
              <w:rPr/>
              <w:t>Public Disclosure</w:t>
            </w:r>
          </w:p>
        </w:tc>
        <w:tc>
          <w:tcPr>
            <w:tcW w:w="395" w:type="dxa"/>
            <w:tcBorders/>
            <w:vAlign w:val="center"/>
          </w:tcPr>
          <w:p>
            <w:pPr>
              <w:pStyle w:val="TableContents"/>
              <w:bidi w:val="0"/>
              <w:spacing w:before="0" w:after="283"/>
              <w:jc w:val="right"/>
              <w:rPr/>
            </w:pPr>
            <w:r>
              <w:rPr/>
              <w:t>105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665" w:type="dxa"/>
            <w:tcBorders/>
            <w:vAlign w:val="center"/>
          </w:tcPr>
          <w:p>
            <w:pPr>
              <w:pStyle w:val="TableContents"/>
              <w:bidi w:val="0"/>
              <w:spacing w:before="0" w:after="283"/>
              <w:jc w:val="left"/>
              <w:rPr/>
            </w:pPr>
            <w:r>
              <w:rPr/>
              <w:t>Nasdaq Listing of Additional Shares</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665" w:type="dxa"/>
            <w:tcBorders/>
            <w:vAlign w:val="center"/>
          </w:tcPr>
          <w:p>
            <w:pPr>
              <w:pStyle w:val="TableContents"/>
              <w:bidi w:val="0"/>
              <w:spacing w:before="0" w:after="283"/>
              <w:jc w:val="left"/>
              <w:rPr/>
            </w:pPr>
            <w:r>
              <w:rPr/>
              <w:t>Trading Symbol</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6665" w:type="dxa"/>
            <w:tcBorders/>
            <w:vAlign w:val="center"/>
          </w:tcPr>
          <w:p>
            <w:pPr>
              <w:pStyle w:val="TableContents"/>
              <w:bidi w:val="0"/>
              <w:spacing w:before="0" w:after="283"/>
              <w:jc w:val="left"/>
              <w:rPr/>
            </w:pPr>
            <w:r>
              <w:rPr/>
              <w:t>Takeover Laws</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c>
          <w:tcPr>
            <w:tcW w:w="6665" w:type="dxa"/>
            <w:tcBorders/>
            <w:vAlign w:val="center"/>
          </w:tcPr>
          <w:p>
            <w:pPr>
              <w:pStyle w:val="TableContents"/>
              <w:bidi w:val="0"/>
              <w:spacing w:before="0" w:after="283"/>
              <w:jc w:val="left"/>
              <w:rPr/>
            </w:pPr>
            <w:r>
              <w:rPr/>
              <w:t>Section 16</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c>
          <w:tcPr>
            <w:tcW w:w="6665" w:type="dxa"/>
            <w:tcBorders/>
            <w:vAlign w:val="center"/>
          </w:tcPr>
          <w:p>
            <w:pPr>
              <w:pStyle w:val="TableContents"/>
              <w:bidi w:val="0"/>
              <w:spacing w:before="0" w:after="283"/>
              <w:jc w:val="left"/>
              <w:rPr/>
            </w:pPr>
            <w:r>
              <w:rPr/>
              <w:t>Qualifying Company Compliance</w:t>
            </w:r>
          </w:p>
        </w:tc>
        <w:tc>
          <w:tcPr>
            <w:tcW w:w="395" w:type="dxa"/>
            <w:tcBorders/>
            <w:vAlign w:val="center"/>
          </w:tcPr>
          <w:p>
            <w:pPr>
              <w:pStyle w:val="TableContents"/>
              <w:bidi w:val="0"/>
              <w:spacing w:before="0" w:after="283"/>
              <w:jc w:val="right"/>
              <w:rPr/>
            </w:pPr>
            <w:r>
              <w:rPr/>
              <w:t>106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c>
          <w:tcPr>
            <w:tcW w:w="6665" w:type="dxa"/>
            <w:tcBorders/>
            <w:vAlign w:val="center"/>
          </w:tcPr>
          <w:p>
            <w:pPr>
              <w:pStyle w:val="TableContents"/>
              <w:bidi w:val="0"/>
              <w:spacing w:before="0" w:after="283"/>
              <w:jc w:val="left"/>
              <w:rPr/>
            </w:pPr>
            <w:r>
              <w:rPr/>
              <w:t>Certain Tax Matters</w:t>
            </w:r>
          </w:p>
        </w:tc>
        <w:tc>
          <w:tcPr>
            <w:tcW w:w="395" w:type="dxa"/>
            <w:tcBorders/>
            <w:vAlign w:val="center"/>
          </w:tcPr>
          <w:p>
            <w:pPr>
              <w:pStyle w:val="TableContents"/>
              <w:bidi w:val="0"/>
              <w:spacing w:before="0" w:after="283"/>
              <w:jc w:val="right"/>
              <w:rPr/>
            </w:pPr>
            <w:r>
              <w:rPr/>
              <w:t>107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w:t>
            </w:r>
          </w:p>
        </w:tc>
        <w:tc>
          <w:tcPr>
            <w:tcW w:w="6665" w:type="dxa"/>
            <w:tcBorders/>
            <w:vAlign w:val="center"/>
          </w:tcPr>
          <w:p>
            <w:pPr>
              <w:pStyle w:val="TableContents"/>
              <w:bidi w:val="0"/>
              <w:spacing w:before="0" w:after="283"/>
              <w:jc w:val="left"/>
              <w:rPr/>
            </w:pPr>
            <w:r>
              <w:rPr/>
              <w:t>No Control of Other Party’s Business</w:t>
            </w:r>
          </w:p>
        </w:tc>
        <w:tc>
          <w:tcPr>
            <w:tcW w:w="395" w:type="dxa"/>
            <w:tcBorders/>
            <w:vAlign w:val="center"/>
          </w:tcPr>
          <w:p>
            <w:pPr>
              <w:pStyle w:val="TableContents"/>
              <w:bidi w:val="0"/>
              <w:spacing w:before="0" w:after="283"/>
              <w:jc w:val="right"/>
              <w:rPr/>
            </w:pPr>
            <w:r>
              <w:rPr/>
              <w:t>107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6.16</w:t>
            </w:r>
          </w:p>
        </w:tc>
        <w:tc>
          <w:tcPr>
            <w:tcW w:w="6665" w:type="dxa"/>
            <w:tcBorders/>
            <w:vAlign w:val="center"/>
          </w:tcPr>
          <w:p>
            <w:pPr>
              <w:pStyle w:val="TableContents"/>
              <w:bidi w:val="0"/>
              <w:spacing w:before="0" w:after="283"/>
              <w:jc w:val="left"/>
              <w:rPr/>
            </w:pPr>
            <w:r>
              <w:rPr/>
              <w:t>Special Dividend</w:t>
            </w:r>
          </w:p>
        </w:tc>
        <w:tc>
          <w:tcPr>
            <w:tcW w:w="395" w:type="dxa"/>
            <w:tcBorders/>
            <w:vAlign w:val="center"/>
          </w:tcPr>
          <w:p>
            <w:pPr>
              <w:pStyle w:val="TableContents"/>
              <w:bidi w:val="0"/>
              <w:spacing w:before="0" w:after="283"/>
              <w:jc w:val="right"/>
              <w:rPr/>
            </w:pPr>
            <w:r>
              <w:rPr/>
              <w:t>108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6.17</w:t>
            </w:r>
          </w:p>
        </w:tc>
        <w:tc>
          <w:tcPr>
            <w:tcW w:w="6665" w:type="dxa"/>
            <w:tcBorders/>
            <w:vAlign w:val="center"/>
          </w:tcPr>
          <w:p>
            <w:pPr>
              <w:pStyle w:val="TableContents"/>
              <w:bidi w:val="0"/>
              <w:spacing w:before="0" w:after="283"/>
              <w:jc w:val="left"/>
              <w:rPr/>
            </w:pPr>
            <w:r>
              <w:rPr/>
              <w:t>Financing</w:t>
            </w:r>
          </w:p>
        </w:tc>
        <w:tc>
          <w:tcPr>
            <w:tcW w:w="395" w:type="dxa"/>
            <w:tcBorders/>
            <w:vAlign w:val="center"/>
          </w:tcPr>
          <w:p>
            <w:pPr>
              <w:pStyle w:val="TableContents"/>
              <w:bidi w:val="0"/>
              <w:spacing w:before="0" w:after="283"/>
              <w:jc w:val="right"/>
              <w:rPr/>
            </w:pPr>
            <w:r>
              <w:rPr/>
              <w:t>109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6.18</w:t>
            </w:r>
          </w:p>
        </w:tc>
        <w:tc>
          <w:tcPr>
            <w:tcW w:w="6665" w:type="dxa"/>
            <w:tcBorders/>
            <w:vAlign w:val="center"/>
          </w:tcPr>
          <w:p>
            <w:pPr>
              <w:pStyle w:val="TableContents"/>
              <w:bidi w:val="0"/>
              <w:spacing w:before="0" w:after="283"/>
              <w:jc w:val="left"/>
              <w:rPr/>
            </w:pPr>
            <w:r>
              <w:rPr/>
              <w:t>Certain Insurance Matters</w:t>
            </w:r>
          </w:p>
        </w:tc>
        <w:tc>
          <w:tcPr>
            <w:tcW w:w="395" w:type="dxa"/>
            <w:tcBorders/>
            <w:vAlign w:val="center"/>
          </w:tcPr>
          <w:p>
            <w:pPr>
              <w:pStyle w:val="TableContents"/>
              <w:bidi w:val="0"/>
              <w:spacing w:before="0" w:after="283"/>
              <w:jc w:val="right"/>
              <w:rPr/>
            </w:pPr>
            <w:r>
              <w:rPr/>
              <w:t>114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c>
          <w:tcPr>
            <w:tcW w:w="6665" w:type="dxa"/>
            <w:tcBorders/>
            <w:vAlign w:val="center"/>
          </w:tcPr>
          <w:p>
            <w:pPr>
              <w:pStyle w:val="TableContents"/>
              <w:bidi w:val="0"/>
              <w:spacing w:before="0" w:after="283"/>
              <w:jc w:val="left"/>
              <w:rPr/>
            </w:pPr>
            <w:r>
              <w:rPr/>
              <w:t>Transaction Litigation</w:t>
            </w:r>
          </w:p>
        </w:tc>
        <w:tc>
          <w:tcPr>
            <w:tcW w:w="395" w:type="dxa"/>
            <w:tcBorders/>
            <w:vAlign w:val="center"/>
          </w:tcPr>
          <w:p>
            <w:pPr>
              <w:pStyle w:val="TableContents"/>
              <w:bidi w:val="0"/>
              <w:spacing w:before="0" w:after="283"/>
              <w:jc w:val="right"/>
              <w:rPr/>
            </w:pPr>
            <w:r>
              <w:rPr/>
              <w:t>114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6.20</w:t>
            </w:r>
          </w:p>
        </w:tc>
        <w:tc>
          <w:tcPr>
            <w:tcW w:w="6665" w:type="dxa"/>
            <w:tcBorders/>
            <w:vAlign w:val="center"/>
          </w:tcPr>
          <w:p>
            <w:pPr>
              <w:pStyle w:val="TableContents"/>
              <w:bidi w:val="0"/>
              <w:spacing w:before="0" w:after="283"/>
              <w:jc w:val="left"/>
              <w:rPr/>
            </w:pPr>
            <w:r>
              <w:rPr/>
              <w:t>Resignation of Indivior Directors and Officers</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6.21</w:t>
            </w:r>
          </w:p>
        </w:tc>
        <w:tc>
          <w:tcPr>
            <w:tcW w:w="6665" w:type="dxa"/>
            <w:tcBorders/>
            <w:vAlign w:val="center"/>
          </w:tcPr>
          <w:p>
            <w:pPr>
              <w:pStyle w:val="TableContents"/>
              <w:bidi w:val="0"/>
              <w:spacing w:before="0" w:after="283"/>
              <w:jc w:val="left"/>
              <w:rPr/>
            </w:pPr>
            <w:r>
              <w:rPr/>
              <w:t>FTC Order Compliance</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VII CONDITIONS TO CLOSING</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665" w:type="dxa"/>
            <w:tcBorders/>
            <w:vAlign w:val="center"/>
          </w:tcPr>
          <w:p>
            <w:pPr>
              <w:pStyle w:val="TableContents"/>
              <w:bidi w:val="0"/>
              <w:spacing w:before="0" w:after="283"/>
              <w:jc w:val="left"/>
              <w:rPr/>
            </w:pPr>
            <w:r>
              <w:rPr/>
              <w:t>Conditions to All Parties’ Obligations</w:t>
            </w:r>
          </w:p>
        </w:tc>
        <w:tc>
          <w:tcPr>
            <w:tcW w:w="395" w:type="dxa"/>
            <w:tcBorders/>
            <w:vAlign w:val="center"/>
          </w:tcPr>
          <w:p>
            <w:pPr>
              <w:pStyle w:val="TableContents"/>
              <w:bidi w:val="0"/>
              <w:spacing w:before="0" w:after="283"/>
              <w:jc w:val="right"/>
              <w:rPr/>
            </w:pPr>
            <w:r>
              <w:rPr/>
              <w:t>115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665" w:type="dxa"/>
            <w:tcBorders/>
            <w:vAlign w:val="center"/>
          </w:tcPr>
          <w:p>
            <w:pPr>
              <w:pStyle w:val="TableContents"/>
              <w:bidi w:val="0"/>
              <w:spacing w:before="0" w:after="283"/>
              <w:jc w:val="left"/>
              <w:rPr/>
            </w:pPr>
            <w:r>
              <w:rPr/>
              <w:t>Conditions to Indivior’s and Merger Sub’s Obligations</w:t>
            </w:r>
          </w:p>
        </w:tc>
        <w:tc>
          <w:tcPr>
            <w:tcW w:w="395" w:type="dxa"/>
            <w:tcBorders/>
            <w:vAlign w:val="center"/>
          </w:tcPr>
          <w:p>
            <w:pPr>
              <w:pStyle w:val="TableContents"/>
              <w:bidi w:val="0"/>
              <w:spacing w:before="0" w:after="283"/>
              <w:jc w:val="right"/>
              <w:rPr/>
            </w:pPr>
            <w:r>
              <w:rPr/>
              <w:t>116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665" w:type="dxa"/>
            <w:tcBorders/>
            <w:vAlign w:val="center"/>
          </w:tcPr>
          <w:p>
            <w:pPr>
              <w:pStyle w:val="TableContents"/>
              <w:bidi w:val="0"/>
              <w:spacing w:before="0" w:after="283"/>
              <w:jc w:val="left"/>
              <w:rPr/>
            </w:pPr>
            <w:r>
              <w:rPr/>
              <w:t>Conditions to Supernus’ Obligations</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VIII TERMINATION</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665" w:type="dxa"/>
            <w:tcBorders/>
            <w:vAlign w:val="center"/>
          </w:tcPr>
          <w:p>
            <w:pPr>
              <w:pStyle w:val="TableContents"/>
              <w:bidi w:val="0"/>
              <w:spacing w:before="0" w:after="283"/>
              <w:jc w:val="left"/>
              <w:rPr/>
            </w:pPr>
            <w:r>
              <w:rPr/>
              <w:t>Termination</w:t>
            </w:r>
          </w:p>
        </w:tc>
        <w:tc>
          <w:tcPr>
            <w:tcW w:w="395" w:type="dxa"/>
            <w:tcBorders/>
            <w:vAlign w:val="center"/>
          </w:tcPr>
          <w:p>
            <w:pPr>
              <w:pStyle w:val="TableContents"/>
              <w:bidi w:val="0"/>
              <w:spacing w:before="0" w:after="283"/>
              <w:jc w:val="right"/>
              <w:rPr/>
            </w:pPr>
            <w:r>
              <w:rPr/>
              <w:t>117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665" w:type="dxa"/>
            <w:tcBorders/>
            <w:vAlign w:val="center"/>
          </w:tcPr>
          <w:p>
            <w:pPr>
              <w:pStyle w:val="TableContents"/>
              <w:bidi w:val="0"/>
              <w:spacing w:before="0" w:after="283"/>
              <w:jc w:val="left"/>
              <w:rPr/>
            </w:pPr>
            <w:r>
              <w:rPr/>
              <w:t>Effect of Termination</w:t>
            </w:r>
          </w:p>
        </w:tc>
        <w:tc>
          <w:tcPr>
            <w:tcW w:w="395" w:type="dxa"/>
            <w:tcBorders/>
            <w:vAlign w:val="center"/>
          </w:tcPr>
          <w:p>
            <w:pPr>
              <w:pStyle w:val="TableContents"/>
              <w:bidi w:val="0"/>
              <w:spacing w:before="0" w:after="283"/>
              <w:jc w:val="right"/>
              <w:rPr/>
            </w:pPr>
            <w:r>
              <w:rPr/>
              <w:t>120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665" w:type="dxa"/>
            <w:tcBorders/>
            <w:vAlign w:val="center"/>
          </w:tcPr>
          <w:p>
            <w:pPr>
              <w:pStyle w:val="TableContents"/>
              <w:bidi w:val="0"/>
              <w:spacing w:before="0" w:after="283"/>
              <w:jc w:val="left"/>
              <w:rPr/>
            </w:pPr>
            <w:r>
              <w:rPr/>
              <w:t>Termination Fees</w:t>
            </w:r>
          </w:p>
        </w:tc>
        <w:tc>
          <w:tcPr>
            <w:tcW w:w="395" w:type="dxa"/>
            <w:tcBorders/>
            <w:vAlign w:val="center"/>
          </w:tcPr>
          <w:p>
            <w:pPr>
              <w:pStyle w:val="TableContents"/>
              <w:bidi w:val="0"/>
              <w:spacing w:before="0" w:after="283"/>
              <w:jc w:val="right"/>
              <w:rPr/>
            </w:pPr>
            <w:r>
              <w:rPr/>
              <w:t>120</w:t>
            </w:r>
          </w:p>
        </w:tc>
      </w:tr>
      <w:tr>
        <w:trPr/>
        <w:tc>
          <w:tcPr>
            <w:tcW w:w="39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060" w:type="dxa"/>
            <w:gridSpan w:val="2"/>
            <w:tcBorders/>
            <w:vAlign w:val="center"/>
          </w:tcPr>
          <w:p>
            <w:pPr>
              <w:pStyle w:val="TableContents"/>
              <w:bidi w:val="0"/>
              <w:spacing w:before="0" w:after="283"/>
              <w:jc w:val="left"/>
              <w:rPr/>
            </w:pPr>
            <w:r>
              <w:rPr/>
              <w:t>Article IX MISCELLANEOUS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665" w:type="dxa"/>
            <w:tcBorders/>
            <w:vAlign w:val="center"/>
          </w:tcPr>
          <w:p>
            <w:pPr>
              <w:pStyle w:val="TableContents"/>
              <w:bidi w:val="0"/>
              <w:spacing w:before="0" w:after="283"/>
              <w:jc w:val="left"/>
              <w:rPr/>
            </w:pPr>
            <w:r>
              <w:rPr/>
              <w:t>Expenses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665" w:type="dxa"/>
            <w:tcBorders/>
            <w:vAlign w:val="center"/>
          </w:tcPr>
          <w:p>
            <w:pPr>
              <w:pStyle w:val="TableContents"/>
              <w:bidi w:val="0"/>
              <w:spacing w:before="0" w:after="283"/>
              <w:jc w:val="left"/>
              <w:rPr/>
            </w:pPr>
            <w:r>
              <w:rPr/>
              <w:t>Amendment</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665" w:type="dxa"/>
            <w:tcBorders/>
            <w:vAlign w:val="center"/>
          </w:tcPr>
          <w:p>
            <w:pPr>
              <w:pStyle w:val="TableContents"/>
              <w:bidi w:val="0"/>
              <w:spacing w:before="0" w:after="283"/>
              <w:jc w:val="left"/>
              <w:rPr/>
            </w:pPr>
            <w:r>
              <w:rPr/>
              <w:t>Waiver</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665" w:type="dxa"/>
            <w:tcBorders/>
            <w:vAlign w:val="center"/>
          </w:tcPr>
          <w:p>
            <w:pPr>
              <w:pStyle w:val="TableContents"/>
              <w:bidi w:val="0"/>
              <w:spacing w:before="0" w:after="283"/>
              <w:jc w:val="left"/>
              <w:rPr/>
            </w:pPr>
            <w:r>
              <w:rPr/>
              <w:t>No Survival of Representations and Warranties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665" w:type="dxa"/>
            <w:tcBorders/>
            <w:vAlign w:val="center"/>
          </w:tcPr>
          <w:p>
            <w:pPr>
              <w:pStyle w:val="TableContents"/>
              <w:bidi w:val="0"/>
              <w:spacing w:before="0" w:after="283"/>
              <w:jc w:val="left"/>
              <w:rPr/>
            </w:pPr>
            <w:r>
              <w:rPr/>
              <w:t>Entire Agreement; Counterparts</w:t>
            </w:r>
          </w:p>
        </w:tc>
        <w:tc>
          <w:tcPr>
            <w:tcW w:w="395" w:type="dxa"/>
            <w:tcBorders/>
            <w:vAlign w:val="center"/>
          </w:tcPr>
          <w:p>
            <w:pPr>
              <w:pStyle w:val="TableContents"/>
              <w:bidi w:val="0"/>
              <w:spacing w:before="0" w:after="283"/>
              <w:jc w:val="right"/>
              <w:rPr/>
            </w:pPr>
            <w:r>
              <w:rPr/>
              <w:t>122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665" w:type="dxa"/>
            <w:tcBorders/>
            <w:vAlign w:val="center"/>
          </w:tcPr>
          <w:p>
            <w:pPr>
              <w:pStyle w:val="TableContents"/>
              <w:bidi w:val="0"/>
              <w:spacing w:before="0" w:after="283"/>
              <w:jc w:val="left"/>
              <w:rPr/>
            </w:pPr>
            <w:r>
              <w:rPr/>
              <w:t>Applicable Law; Jurisdiction</w:t>
            </w:r>
          </w:p>
        </w:tc>
        <w:tc>
          <w:tcPr>
            <w:tcW w:w="395" w:type="dxa"/>
            <w:tcBorders/>
            <w:vAlign w:val="center"/>
          </w:tcPr>
          <w:p>
            <w:pPr>
              <w:pStyle w:val="TableContents"/>
              <w:bidi w:val="0"/>
              <w:spacing w:before="0" w:after="283"/>
              <w:jc w:val="right"/>
              <w:rPr/>
            </w:pPr>
            <w:r>
              <w:rPr/>
              <w:t>123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665" w:type="dxa"/>
            <w:tcBorders/>
            <w:vAlign w:val="center"/>
          </w:tcPr>
          <w:p>
            <w:pPr>
              <w:pStyle w:val="TableContents"/>
              <w:bidi w:val="0"/>
              <w:spacing w:before="0" w:after="283"/>
              <w:jc w:val="left"/>
              <w:rPr/>
            </w:pPr>
            <w:r>
              <w:rPr/>
              <w:t>Waiver of Jury Trial</w:t>
            </w:r>
          </w:p>
        </w:tc>
        <w:tc>
          <w:tcPr>
            <w:tcW w:w="395" w:type="dxa"/>
            <w:tcBorders/>
            <w:vAlign w:val="center"/>
          </w:tcPr>
          <w:p>
            <w:pPr>
              <w:pStyle w:val="TableContents"/>
              <w:bidi w:val="0"/>
              <w:spacing w:before="0" w:after="283"/>
              <w:jc w:val="right"/>
              <w:rPr/>
            </w:pPr>
            <w:r>
              <w:rPr/>
              <w:t>123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665" w:type="dxa"/>
            <w:tcBorders/>
            <w:vAlign w:val="center"/>
          </w:tcPr>
          <w:p>
            <w:pPr>
              <w:pStyle w:val="TableContents"/>
              <w:bidi w:val="0"/>
              <w:spacing w:before="0" w:after="283"/>
              <w:jc w:val="left"/>
              <w:rPr/>
            </w:pPr>
            <w:r>
              <w:rPr/>
              <w:t>Assignability</w:t>
            </w:r>
          </w:p>
        </w:tc>
        <w:tc>
          <w:tcPr>
            <w:tcW w:w="395" w:type="dxa"/>
            <w:tcBorders/>
            <w:vAlign w:val="center"/>
          </w:tcPr>
          <w:p>
            <w:pPr>
              <w:pStyle w:val="TableContents"/>
              <w:bidi w:val="0"/>
              <w:spacing w:before="0" w:after="283"/>
              <w:jc w:val="right"/>
              <w:rPr/>
            </w:pPr>
            <w:r>
              <w:rPr/>
              <w:t>124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665" w:type="dxa"/>
            <w:tcBorders/>
            <w:vAlign w:val="center"/>
          </w:tcPr>
          <w:p>
            <w:pPr>
              <w:pStyle w:val="TableContents"/>
              <w:bidi w:val="0"/>
              <w:spacing w:before="0" w:after="283"/>
              <w:jc w:val="left"/>
              <w:rPr/>
            </w:pPr>
            <w:r>
              <w:rPr/>
              <w:t>No Third Party Beneficiaries</w:t>
            </w:r>
          </w:p>
        </w:tc>
        <w:tc>
          <w:tcPr>
            <w:tcW w:w="395" w:type="dxa"/>
            <w:tcBorders/>
            <w:vAlign w:val="center"/>
          </w:tcPr>
          <w:p>
            <w:pPr>
              <w:pStyle w:val="TableContents"/>
              <w:bidi w:val="0"/>
              <w:spacing w:before="0" w:after="283"/>
              <w:jc w:val="right"/>
              <w:rPr/>
            </w:pPr>
            <w:r>
              <w:rPr/>
              <w:t>124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665" w:type="dxa"/>
            <w:tcBorders/>
            <w:vAlign w:val="center"/>
          </w:tcPr>
          <w:p>
            <w:pPr>
              <w:pStyle w:val="TableContents"/>
              <w:bidi w:val="0"/>
              <w:spacing w:before="0" w:after="283"/>
              <w:jc w:val="left"/>
              <w:rPr/>
            </w:pPr>
            <w:r>
              <w:rPr/>
              <w:t>Notices</w:t>
            </w:r>
          </w:p>
        </w:tc>
        <w:tc>
          <w:tcPr>
            <w:tcW w:w="395" w:type="dxa"/>
            <w:tcBorders/>
            <w:vAlign w:val="center"/>
          </w:tcPr>
          <w:p>
            <w:pPr>
              <w:pStyle w:val="TableContents"/>
              <w:bidi w:val="0"/>
              <w:spacing w:before="0" w:after="283"/>
              <w:jc w:val="right"/>
              <w:rPr/>
            </w:pPr>
            <w:r>
              <w:rPr/>
              <w:t>124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395"/>
        <w:gridCol w:w="2045"/>
        <w:gridCol w:w="3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2045" w:type="dxa"/>
            <w:tcBorders/>
            <w:vAlign w:val="center"/>
          </w:tcPr>
          <w:p>
            <w:pPr>
              <w:pStyle w:val="TableContents"/>
              <w:bidi w:val="0"/>
              <w:spacing w:before="0" w:after="283"/>
              <w:jc w:val="left"/>
              <w:rPr/>
            </w:pPr>
            <w:r>
              <w:rPr/>
              <w:t>Severability</w:t>
            </w:r>
          </w:p>
        </w:tc>
        <w:tc>
          <w:tcPr>
            <w:tcW w:w="395" w:type="dxa"/>
            <w:tcBorders/>
            <w:vAlign w:val="center"/>
          </w:tcPr>
          <w:p>
            <w:pPr>
              <w:pStyle w:val="TableContents"/>
              <w:bidi w:val="0"/>
              <w:spacing w:before="0" w:after="283"/>
              <w:jc w:val="right"/>
              <w:rPr/>
            </w:pPr>
            <w:r>
              <w:rPr/>
              <w:t>125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2045" w:type="dxa"/>
            <w:tcBorders/>
            <w:vAlign w:val="center"/>
          </w:tcPr>
          <w:p>
            <w:pPr>
              <w:pStyle w:val="TableContents"/>
              <w:bidi w:val="0"/>
              <w:spacing w:before="0" w:after="283"/>
              <w:jc w:val="left"/>
              <w:rPr/>
            </w:pPr>
            <w:r>
              <w:rPr/>
              <w:t>Specific Performance</w:t>
            </w:r>
          </w:p>
        </w:tc>
        <w:tc>
          <w:tcPr>
            <w:tcW w:w="395" w:type="dxa"/>
            <w:tcBorders/>
            <w:vAlign w:val="center"/>
          </w:tcPr>
          <w:p>
            <w:pPr>
              <w:pStyle w:val="TableContents"/>
              <w:bidi w:val="0"/>
              <w:spacing w:before="0" w:after="283"/>
              <w:jc w:val="right"/>
              <w:rPr/>
            </w:pPr>
            <w:r>
              <w:rPr/>
              <w:t>125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9.13</w:t>
            </w:r>
          </w:p>
        </w:tc>
        <w:tc>
          <w:tcPr>
            <w:tcW w:w="2045" w:type="dxa"/>
            <w:tcBorders/>
            <w:vAlign w:val="center"/>
          </w:tcPr>
          <w:p>
            <w:pPr>
              <w:pStyle w:val="TableContents"/>
              <w:bidi w:val="0"/>
              <w:spacing w:before="0" w:after="283"/>
              <w:jc w:val="left"/>
              <w:rPr/>
            </w:pPr>
            <w:r>
              <w:rPr/>
              <w:t>Debt Financing</w:t>
            </w:r>
          </w:p>
        </w:tc>
        <w:tc>
          <w:tcPr>
            <w:tcW w:w="395" w:type="dxa"/>
            <w:tcBorders/>
            <w:vAlign w:val="center"/>
          </w:tcPr>
          <w:p>
            <w:pPr>
              <w:pStyle w:val="TableContents"/>
              <w:bidi w:val="0"/>
              <w:spacing w:before="0" w:after="283"/>
              <w:jc w:val="right"/>
              <w:rPr/>
            </w:pPr>
            <w:r>
              <w:rPr/>
              <w:t>126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890"/>
        <w:gridCol w:w="3740"/>
      </w:tblGrid>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Indivior Voting Agreement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Supernus Voting Agreement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Dividend Payment Rights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AGREEMENT AND PLAN OF MERGER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August 1, 2026, by and among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Artemis Merger Sub Inc., a Delaware corporation and a wholly-owned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xml:space="preserve">”). Capitalized terms used and not otherwise defined herein have the meanings set forth in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hereof,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Times;Serif" w:hAnsi="Times New Roman;Times;Serif"/>
          <w:b/>
          <w:i w:val="false"/>
          <w:caps w:val="false"/>
          <w:smallCaps w:val="false"/>
          <w:sz w:val="20"/>
        </w:rPr>
        <w:t>Indivior Recommendation</w:t>
      </w:r>
      <w:r>
        <w:rPr>
          <w:rFonts w:ascii="Times New Roman;Times;Serif" w:hAnsi="Times New Roman;Times;Serif"/>
          <w:b w:val="false"/>
          <w:i w:val="false"/>
          <w:caps w:val="false"/>
          <w:smallCaps w:val="false"/>
          <w:sz w:val="20"/>
        </w:rPr>
        <w:t>”); and (d) directed that the Indivior Share Issuance be submitted to the Indivior Stockholders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Times;Serif" w:hAnsi="Times New Roman;Times;Serif"/>
          <w:b/>
          <w:i w:val="false"/>
          <w:caps w:val="false"/>
          <w:smallCaps w:val="false"/>
          <w:sz w:val="20"/>
        </w:rPr>
        <w:t>Supernus Recommendation</w:t>
      </w:r>
      <w:r>
        <w:rPr>
          <w:rFonts w:ascii="Times New Roman;Times;Serif" w:hAnsi="Times New Roman;Times;Serif"/>
          <w:b w:val="false"/>
          <w:i w:val="false"/>
          <w:caps w:val="false"/>
          <w:smallCaps w:val="false"/>
          <w:sz w:val="20"/>
        </w:rPr>
        <w:t>”); and (d) directed that this Agreement be submitted to the Supernus Stockholders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Indivior Voting Agreements</w:t>
      </w:r>
      <w:r>
        <w:rPr>
          <w:rFonts w:ascii="Times New Roman;Times;Serif" w:hAnsi="Times New Roman;Times;Serif"/>
          <w:b w:val="false"/>
          <w:i w:val="false"/>
          <w:caps w:val="false"/>
          <w:smallCaps w:val="false"/>
          <w:sz w:val="20"/>
        </w:rPr>
        <w:t>”), agreeing to certain matters with respect to the Merger and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Supernus Voting Agreements</w:t>
      </w:r>
      <w:r>
        <w:rPr>
          <w:rFonts w:ascii="Times New Roman;Times;Serif" w:hAnsi="Times New Roman;Times;Serif"/>
          <w:b w:val="false"/>
          <w:i w:val="false"/>
          <w:caps w:val="false"/>
          <w:smallCaps w:val="false"/>
          <w:sz w:val="20"/>
        </w:rPr>
        <w:t>”), agreeing to certain matters with respect to the Merger and the other transactions contemplated by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representations and warranties and mutual covenants contained herein and of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hereof, the following terms, when used herein with initial capital letters, shall have the respective meanings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claim, demand, notice, action, suit, arbitration, proceeding, audit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Closing Cash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Dividend Scenario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the U.S. Foreign Corrupt Practices Act of 1977, as amended, the U.K. Bribery Act 2010, and all other applicable anti-corruption/anti-bribery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Laws</w:t>
      </w:r>
      <w:r>
        <w:rPr>
          <w:rFonts w:ascii="Times New Roman;Times;Serif" w:hAnsi="Times New Roman;Times;Serif"/>
          <w:b w:val="false"/>
          <w:i w:val="false"/>
          <w:caps w:val="false"/>
          <w:smallCaps w:val="false"/>
          <w:sz w:val="20"/>
        </w:rPr>
        <w:t>”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Average Indivior Stock Price</w:t>
      </w:r>
      <w:r>
        <w:rPr>
          <w:rFonts w:ascii="Times New Roman;Times;Serif" w:hAnsi="Times New Roman;Times;Serif"/>
          <w:b w:val="false"/>
          <w:i w:val="false"/>
          <w:caps w:val="false"/>
          <w:smallCaps w:val="false"/>
          <w:sz w:val="20"/>
        </w:rPr>
        <w:t>” shall mean the volume weighted average trading price per Indivior Share on Nasdaq (as reported by Bloomberg L.P. or, if not reported therein, in another authoritative source mutually selected by the parties) for the five (5) consecutive Trading Days ending on (and including) the Trading Day that is three Trading Days prior to the date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Book-Entry Share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a Sunday or a day on which banks are closed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Leases</w:t>
      </w:r>
      <w:r>
        <w:rPr>
          <w:rFonts w:ascii="Times New Roman;Times;Serif" w:hAnsi="Times New Roman;Times;Serif"/>
          <w:b w:val="false"/>
          <w:i w:val="false"/>
          <w:caps w:val="false"/>
          <w:smallCaps w:val="false"/>
          <w:sz w:val="20"/>
        </w:rPr>
        <w:t>” means all obligations for capital leases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CERCLA</w:t>
      </w:r>
      <w:r>
        <w:rPr>
          <w:rFonts w:ascii="Times New Roman;Times;Serif" w:hAnsi="Times New Roman;Times;Serif"/>
          <w:b w:val="false"/>
          <w:i w:val="false"/>
          <w:caps w:val="false"/>
          <w:smallCaps w:val="false"/>
          <w:sz w:val="20"/>
        </w:rPr>
        <w:t>” means the Comprehensive Environmental Response, Compensation and Liability Act of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Combined Company</w:t>
      </w:r>
      <w:r>
        <w:rPr>
          <w:rFonts w:ascii="Times New Roman;Times;Serif" w:hAnsi="Times New Roman;Times;Serif"/>
          <w:b w:val="false"/>
          <w:i w:val="false"/>
          <w:caps w:val="false"/>
          <w:smallCaps w:val="false"/>
          <w:sz w:val="20"/>
        </w:rPr>
        <w:t xml:space="preserve">” means Indivior (to be known as Supernus, Inc., the name to be adopted in accordance with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following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Combined Company Board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Committed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Mutual Confidentiality Agreement, dated March 30, 2026, by and between Indivior and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COVID-19</w:t>
      </w:r>
      <w:r>
        <w:rPr>
          <w:rFonts w:ascii="Times New Roman;Times;Serif" w:hAnsi="Times New Roman;Times;Serif"/>
          <w:b w:val="false"/>
          <w:i w:val="false"/>
          <w:caps w:val="false"/>
          <w:smallCaps w:val="false"/>
          <w:sz w:val="20"/>
        </w:rPr>
        <w:t>” means SARS-CoV-2 or COVID-19, and any mutations or variations thereof (including any directly related health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DEA</w:t>
      </w:r>
      <w:r>
        <w:rPr>
          <w:rFonts w:ascii="Times New Roman;Times;Serif" w:hAnsi="Times New Roman;Times;Serif"/>
          <w:b w:val="false"/>
          <w:i w:val="false"/>
          <w:caps w:val="false"/>
          <w:smallCaps w:val="false"/>
          <w:sz w:val="20"/>
        </w:rPr>
        <w:t>” means the Drug Enforcement Administration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Agreement</w:t>
      </w:r>
      <w:r>
        <w:rPr>
          <w:rFonts w:ascii="Times New Roman;Times;Serif" w:hAnsi="Times New Roman;Times;Serif"/>
          <w:b w:val="false"/>
          <w:i w:val="false"/>
          <w:caps w:val="false"/>
          <w:smallCaps w:val="false"/>
          <w:sz w:val="20"/>
        </w:rPr>
        <w:t>” has the meaning set forth in Section 6.16(b)(i).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release, control, or cleanup of any Hazardous Substances, as such of the foregoing are promulgated and in effect on or prior to the Closing Date, and all authorizations, licenses and permits issued or required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or any successor federal statute thereto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trade or business that is, or at any applicable time was, a member of a group described in Section 414(b), (c), (m) or (o) of the Code or Section 4001(b)(1) of ERISA that includes Supernus or Indivior,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Agency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Party Listing</w:t>
      </w:r>
      <w:r>
        <w:rPr>
          <w:rFonts w:ascii="Times New Roman;Times;Serif" w:hAnsi="Times New Roman;Times;Serif"/>
          <w:b w:val="false"/>
          <w:i w:val="false"/>
          <w:caps w:val="false"/>
          <w:smallCaps w:val="false"/>
          <w:sz w:val="20"/>
        </w:rPr>
        <w:t>” means a Governmental Body’s nonprocurement or procurement debarment and suspension system that records the most current information about persons who are excluded or disqualified from contracting with or receiving funding from a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means the U.S. Food and Drug Administration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 Fraud Policy</w:t>
      </w:r>
      <w:r>
        <w:rPr>
          <w:rFonts w:ascii="Times New Roman;Times;Serif" w:hAnsi="Times New Roman;Times;Serif"/>
          <w:b w:val="false"/>
          <w:i w:val="false"/>
          <w:caps w:val="false"/>
          <w:smallCaps w:val="false"/>
          <w:sz w:val="20"/>
        </w:rPr>
        <w:t>” means the “Fraud, Untrue Statements of Material Facts, Bribery, and Illegal Gratuities” Final Policy set forth in 56 Fed. Reg. 46,191 (September 10, 1991) and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 Consent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xml:space="preserve">” means actual and intentional fraud under the common law of Delaware;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shall not include any fraud claim based on constructive knowledge, negligent misrepresentation, recklessness, or other similar theory.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means the United States Federal Trade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 Order</w:t>
      </w:r>
      <w:r>
        <w:rPr>
          <w:rFonts w:ascii="Times New Roman;Times;Serif" w:hAnsi="Times New Roman;Times;Serif"/>
          <w:b w:val="false"/>
          <w:i w:val="false"/>
          <w:caps w:val="false"/>
          <w:smallCaps w:val="false"/>
          <w:sz w:val="20"/>
        </w:rPr>
        <w:t xml:space="preserve">” means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sz w:val="20"/>
        </w:rPr>
        <w:t>Federal Trade Commission v. Indivior Inc.</w:t>
      </w:r>
      <w:r>
        <w:rPr>
          <w:rFonts w:ascii="Times New Roman;Times;Serif" w:hAnsi="Times New Roman;Times;Serif"/>
          <w:b w:val="false"/>
          <w:i w:val="false"/>
          <w:caps w:val="false"/>
          <w:smallCaps w:val="false"/>
          <w:sz w:val="20"/>
        </w:rPr>
        <w:t>,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 as in effect on the date hereof, applied in a manner consistent with Supernus’ or Indivior’s past practice,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Clinical Practices</w:t>
      </w:r>
      <w:r>
        <w:rPr>
          <w:rFonts w:ascii="Times New Roman;Times;Serif" w:hAnsi="Times New Roman;Times;Serif"/>
          <w:b w:val="false"/>
          <w:i w:val="false"/>
          <w:caps w:val="false"/>
          <w:smallCaps w:val="false"/>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Times;Serif" w:hAnsi="Times New Roman;Times;Serif"/>
          <w:b/>
          <w:i w:val="false"/>
          <w:caps w:val="false"/>
          <w:smallCaps w:val="false"/>
          <w:sz w:val="20"/>
        </w:rPr>
        <w:t>ICH</w:t>
      </w:r>
      <w:r>
        <w:rPr>
          <w:rFonts w:ascii="Times New Roman;Times;Serif" w:hAnsi="Times New Roman;Times;Serif"/>
          <w:b w:val="false"/>
          <w:i w:val="false"/>
          <w:caps w:val="false"/>
          <w:smallCaps w:val="false"/>
          <w:sz w:val="20"/>
        </w:rPr>
        <w:t>”) Guideline for Good Clinical Practice,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Laboratory Practices</w:t>
      </w:r>
      <w:r>
        <w:rPr>
          <w:rFonts w:ascii="Times New Roman;Times;Serif" w:hAnsi="Times New Roman;Times;Serif"/>
          <w:b w:val="false"/>
          <w:i w:val="false"/>
          <w:caps w:val="false"/>
          <w:smallCaps w:val="false"/>
          <w:sz w:val="20"/>
        </w:rPr>
        <w:t>”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Manufacturing Practices</w:t>
      </w:r>
      <w:r>
        <w:rPr>
          <w:rFonts w:ascii="Times New Roman;Times;Serif" w:hAnsi="Times New Roman;Times;Serif"/>
          <w:b w:val="false"/>
          <w:i w:val="false"/>
          <w:caps w:val="false"/>
          <w:smallCaps w:val="false"/>
          <w:sz w:val="20"/>
        </w:rPr>
        <w:t>”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Bid</w:t>
      </w:r>
      <w:r>
        <w:rPr>
          <w:rFonts w:ascii="Times New Roman;Times;Serif" w:hAnsi="Times New Roman;Times;Serif"/>
          <w:b w:val="false"/>
          <w:i w:val="false"/>
          <w:caps w:val="false"/>
          <w:smallCaps w:val="false"/>
          <w:sz w:val="20"/>
        </w:rPr>
        <w:t>” means any offer made by Supernus or Indivior, as applicable, or any of their respective Affiliates (including their respective Subsidiaries) prior to the Closing Date which, if accepted, would result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federal, state, provincial, local, municipal, foreign or other government or supranational authority or any department, minister, agency, commission, commissioner, board, subdivision, bureau, agency, instrumentality, court, arbitrator or other tribunal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Contract</w:t>
      </w:r>
      <w:r>
        <w:rPr>
          <w:rFonts w:ascii="Times New Roman;Times;Serif" w:hAnsi="Times New Roman;Times;Serif"/>
          <w:b w:val="false"/>
          <w:i w:val="false"/>
          <w:caps w:val="false"/>
          <w:smallCaps w:val="false"/>
          <w:sz w:val="20"/>
        </w:rPr>
        <w:t>”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 and any successor to such statute,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Balance Sheet Date</w:t>
      </w:r>
      <w:r>
        <w:rPr>
          <w:rFonts w:ascii="Times New Roman;Times;Serif" w:hAnsi="Times New Roman;Times;Serif"/>
          <w:b w:val="false"/>
          <w:i w:val="false"/>
          <w:caps w:val="false"/>
          <w:smallCaps w:val="false"/>
          <w:sz w:val="20"/>
        </w:rPr>
        <w:t>” means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Board</w:t>
      </w:r>
      <w:r>
        <w:rPr>
          <w:rFonts w:ascii="Times New Roman;Times;Serif" w:hAnsi="Times New Roman;Times;Serif"/>
          <w:b w:val="false"/>
          <w:i w:val="false"/>
          <w:caps w:val="false"/>
          <w:smallCaps w:val="false"/>
          <w:sz w:val="20"/>
        </w:rPr>
        <w:t>” means the board of directors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Deferred Compensation Plan</w:t>
      </w:r>
      <w:r>
        <w:rPr>
          <w:rFonts w:ascii="Times New Roman;Times;Serif" w:hAnsi="Times New Roman;Times;Serif"/>
          <w:b w:val="false"/>
          <w:i w:val="false"/>
          <w:caps w:val="false"/>
          <w:smallCaps w:val="false"/>
          <w:sz w:val="20"/>
        </w:rPr>
        <w:t>” has the meaning set forth in Section 6.6(a)(xi).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Designees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Disclosure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Equity Awards</w:t>
      </w:r>
      <w:r>
        <w:rPr>
          <w:rFonts w:ascii="Times New Roman;Times;Serif" w:hAnsi="Times New Roman;Times;Serif"/>
          <w:b w:val="false"/>
          <w:i w:val="false"/>
          <w:caps w:val="false"/>
          <w:smallCaps w:val="false"/>
          <w:sz w:val="20"/>
        </w:rPr>
        <w:t>” means each Indivior RSU and Indivior PSU.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Equity Plans</w:t>
      </w:r>
      <w:r>
        <w:rPr>
          <w:rFonts w:ascii="Times New Roman;Times;Serif" w:hAnsi="Times New Roman;Times;Serif"/>
          <w:b w:val="false"/>
          <w:i w:val="false"/>
          <w:caps w:val="false"/>
          <w:smallCaps w:val="false"/>
          <w:sz w:val="20"/>
        </w:rPr>
        <w:t>” means Indivior’s 2026 Omnibus Equity Incentive Plan, as amended from time to time, Indivior’s 2024 Long-Term Incentive Plan, Indivior’s Long-Term Incentive Plan, and the Indivior Group Deferred Bonus Plan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ESPP</w:t>
      </w:r>
      <w:r>
        <w:rPr>
          <w:rFonts w:ascii="Times New Roman;Times;Serif" w:hAnsi="Times New Roman;Times;Serif"/>
          <w:b w:val="false"/>
          <w:i w:val="false"/>
          <w:caps w:val="false"/>
          <w:smallCaps w:val="false"/>
          <w:sz w:val="20"/>
        </w:rPr>
        <w:t>” means Indivior’s Amended and Restated U.S. Employee Stock Purchase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ESPP Purchase Rights</w:t>
      </w:r>
      <w:r>
        <w:rPr>
          <w:rFonts w:ascii="Times New Roman;Times;Serif" w:hAnsi="Times New Roman;Times;Serif"/>
          <w:b w:val="false"/>
          <w:i w:val="false"/>
          <w:caps w:val="false"/>
          <w:smallCaps w:val="false"/>
          <w:sz w:val="20"/>
        </w:rPr>
        <w:t>” means rights to acquire Indivior Shares under each Indivior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Fee Allocation Percentage</w:t>
      </w:r>
      <w:r>
        <w:rPr>
          <w:rFonts w:ascii="Times New Roman;Times;Serif" w:hAnsi="Times New Roman;Times;Serif"/>
          <w:b w:val="false"/>
          <w:i w:val="false"/>
          <w:caps w:val="false"/>
          <w:smallCaps w:val="false"/>
          <w:sz w:val="20"/>
        </w:rPr>
        <w:t>” means 56.5%.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IP Contracts”</w:t>
      </w:r>
      <w:r>
        <w:rPr>
          <w:rFonts w:ascii="Times New Roman;Times;Serif" w:hAnsi="Times New Roman;Times;Serif"/>
          <w:b w:val="false"/>
          <w:i w:val="false"/>
          <w:caps w:val="false"/>
          <w:smallCaps w:val="false"/>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Licensed Intellectual Property</w:t>
      </w:r>
      <w:r>
        <w:rPr>
          <w:rFonts w:ascii="Times New Roman;Times;Serif" w:hAnsi="Times New Roman;Times;Serif"/>
          <w:b w:val="false"/>
          <w:i w:val="false"/>
          <w:caps w:val="false"/>
          <w:smallCaps w:val="false"/>
          <w:sz w:val="20"/>
        </w:rPr>
        <w:t>” means all Intellectual Property that is licensed to Indivior or any of its Subsidiaries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Licenses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Material Adverse Effect</w:t>
      </w:r>
      <w:r>
        <w:rPr>
          <w:rFonts w:ascii="Times New Roman;Times;Serif" w:hAnsi="Times New Roman;Times;Serif"/>
          <w:b w:val="false"/>
          <w:i w:val="false"/>
          <w:caps w:val="false"/>
          <w:smallCaps w:val="false"/>
          <w:sz w:val="20"/>
        </w:rPr>
        <w:t>” means a Material Adverse Effect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Non-U.S. Subs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Notice of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Owned Intellectual Property</w:t>
      </w:r>
      <w:r>
        <w:rPr>
          <w:rFonts w:ascii="Times New Roman;Times;Serif" w:hAnsi="Times New Roman;Times;Serif"/>
          <w:b w:val="false"/>
          <w:i w:val="false"/>
          <w:caps w:val="false"/>
          <w:smallCaps w:val="false"/>
          <w:sz w:val="20"/>
        </w:rPr>
        <w:t>” means all Intellectual Property that is owned (in whole or in part) by Indivior or any of its Subsidiaries,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Owned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Plan</w:t>
      </w:r>
      <w:r>
        <w:rPr>
          <w:rFonts w:ascii="Times New Roman;Times;Serif" w:hAnsi="Times New Roman;Times;Serif"/>
          <w:b w:val="false"/>
          <w:i w:val="false"/>
          <w:caps w:val="false"/>
          <w:smallCaps w:val="false"/>
          <w:sz w:val="20"/>
        </w:rPr>
        <w:t>”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Preferred Stock</w:t>
      </w:r>
      <w:r>
        <w:rPr>
          <w:rFonts w:ascii="Times New Roman;Times;Serif" w:hAnsi="Times New Roman;Times;Serif"/>
          <w:b w:val="false"/>
          <w:i w:val="false"/>
          <w:caps w:val="false"/>
          <w:smallCaps w:val="false"/>
          <w:sz w:val="20"/>
        </w:rPr>
        <w:t>” means a share of preferred stock of Indivior, $0.01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PSU</w:t>
      </w:r>
      <w:r>
        <w:rPr>
          <w:rFonts w:ascii="Times New Roman;Times;Serif" w:hAnsi="Times New Roman;Times;Serif"/>
          <w:b w:val="false"/>
          <w:i w:val="false"/>
          <w:caps w:val="false"/>
          <w:smallCaps w:val="false"/>
          <w:sz w:val="20"/>
        </w:rPr>
        <w:t>” means each restricted stock unit granted under an Indivior Equity Plan that is subject to performance-based vesting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Recommendation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RSU</w:t>
      </w:r>
      <w:r>
        <w:rPr>
          <w:rFonts w:ascii="Times New Roman;Times;Serif" w:hAnsi="Times New Roman;Times;Serif"/>
          <w:b w:val="false"/>
          <w:i w:val="false"/>
          <w:caps w:val="false"/>
          <w:smallCaps w:val="false"/>
          <w:sz w:val="20"/>
        </w:rPr>
        <w:t>” means each restricted stock unit granted under an Indivior Equity Plan, that is subject to solely time-based vesting restrictions and not performance-based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Share</w:t>
      </w:r>
      <w:r>
        <w:rPr>
          <w:rFonts w:ascii="Times New Roman;Times;Serif" w:hAnsi="Times New Roman;Times;Serif"/>
          <w:b w:val="false"/>
          <w:i w:val="false"/>
          <w:caps w:val="false"/>
          <w:smallCaps w:val="false"/>
          <w:sz w:val="20"/>
        </w:rPr>
        <w:t>” means a share of common stock of Indivior,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Share Issuance</w:t>
      </w:r>
      <w:r>
        <w:rPr>
          <w:rFonts w:ascii="Times New Roman;Times;Serif" w:hAnsi="Times New Roman;Times;Serif"/>
          <w:b w:val="false"/>
          <w:i w:val="false"/>
          <w:caps w:val="false"/>
          <w:smallCaps w:val="false"/>
          <w:sz w:val="20"/>
        </w:rPr>
        <w:t>” means the issuance of Indivior Shares in connection with the Merger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w:t>
      </w:r>
      <w:r>
        <w:rPr>
          <w:rFonts w:ascii="Times New Roman;Times;Serif" w:hAnsi="Times New Roman;Times;Serif"/>
          <w:b w:val="false"/>
          <w:i w:val="false"/>
          <w:caps w:val="false"/>
          <w:smallCaps w:val="false"/>
          <w:sz w:val="20"/>
        </w:rPr>
        <w:t>” means a holder of Indivior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Stockholders’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Tax 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UK Option Plans</w:t>
      </w:r>
      <w:r>
        <w:rPr>
          <w:rFonts w:ascii="Times New Roman;Times;Serif" w:hAnsi="Times New Roman;Times;Serif"/>
          <w:b w:val="false"/>
          <w:i w:val="false"/>
          <w:caps w:val="false"/>
          <w:smallCaps w:val="false"/>
          <w:sz w:val="20"/>
        </w:rPr>
        <w:t>” means the Amended and Restated Indivior UK Savings Related Share Option Plan, as amended from time to time and the Indivior UK Savings Related Share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UK Option Plan Purchase Rights</w:t>
      </w:r>
      <w:r>
        <w:rPr>
          <w:rFonts w:ascii="Times New Roman;Times;Serif" w:hAnsi="Times New Roman;Times;Serif"/>
          <w:b w:val="false"/>
          <w:i w:val="false"/>
          <w:caps w:val="false"/>
          <w:smallCaps w:val="false"/>
          <w:sz w:val="20"/>
        </w:rPr>
        <w:t>” means rights to acquire Indivior Shares under the Indivior UK Option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Indivior Voting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Intentional and Material Breach</w:t>
      </w:r>
      <w:r>
        <w:rPr>
          <w:rFonts w:ascii="Times New Roman;Times;Serif" w:hAnsi="Times New Roman;Times;Serif"/>
          <w:b w:val="false"/>
          <w:i w:val="false"/>
          <w:caps w:val="false"/>
          <w:smallCaps w:val="false"/>
          <w:sz w:val="20"/>
        </w:rPr>
        <w:t>”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Proxy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Indivior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Indivior’s knowledge</w:t>
      </w:r>
      <w:r>
        <w:rPr>
          <w:rFonts w:ascii="Times New Roman;Times;Serif" w:hAnsi="Times New Roman;Times;Serif"/>
          <w:b w:val="false"/>
          <w:i w:val="false"/>
          <w:caps w:val="false"/>
          <w:smallCaps w:val="false"/>
          <w:sz w:val="20"/>
        </w:rPr>
        <w:t>” shall mean, the actual knowledge of any of those individuals set forth in Section 1.1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Supernus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Supernus’ knowledge</w:t>
      </w:r>
      <w:r>
        <w:rPr>
          <w:rFonts w:ascii="Times New Roman;Times;Serif" w:hAnsi="Times New Roman;Times;Serif"/>
          <w:b w:val="false"/>
          <w:i w:val="false"/>
          <w:caps w:val="false"/>
          <w:smallCaps w:val="false"/>
          <w:sz w:val="20"/>
        </w:rPr>
        <w:t>” shall mean, the actual knowledge of any of those individuals set forth in Section 1.1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any lien, mortgage, security interest, pledge, encumbrance, deed of trust, security interest, claim, lease, charge, option, preemptive right, right of first refusal, subscription right, easement, servitude, proxy, voting trust or agreement, transfer restriction under any shareholder or similar agreement, encumbrance or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effect, event, circumstance, occurrence, state of facts or development (each, an “</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relationships, contractual or otherwise, with customers, suppliers, licensors, distributors, partners, providers and employees (provided that this clause (i) shall not apply to any representation or warranty of Supernus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or of Indivior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Measurement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 Board</w:t>
      </w:r>
      <w:r>
        <w:rPr>
          <w:rFonts w:ascii="Times New Roman;Times;Serif" w:hAnsi="Times New Roman;Times;Serif"/>
          <w:b w:val="false"/>
          <w:i w:val="false"/>
          <w:caps w:val="false"/>
          <w:smallCaps w:val="false"/>
          <w:sz w:val="20"/>
        </w:rPr>
        <w:t>” means the board of directors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Tax Opinion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Tax Representation Letters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Misconduct Allegation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including the Nasdaq Global Select Market and the Nasdaq Global Market,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Plan</w:t>
      </w:r>
      <w:r>
        <w:rPr>
          <w:rFonts w:ascii="Times New Roman;Times;Serif" w:hAnsi="Times New Roman;Times;Serif"/>
          <w:b w:val="false"/>
          <w:i w:val="false"/>
          <w:caps w:val="false"/>
          <w:smallCaps w:val="false"/>
          <w:sz w:val="20"/>
        </w:rPr>
        <w:t>” means each Plan that is subject to the Laws of a jurisdiction other than the U.S. (whether or not U.S. Law also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Orange Book</w:t>
      </w:r>
      <w:r>
        <w:rPr>
          <w:rFonts w:ascii="Times New Roman;Times;Serif" w:hAnsi="Times New Roman;Times;Serif"/>
          <w:b w:val="false"/>
          <w:i w:val="false"/>
          <w:caps w:val="false"/>
          <w:smallCaps w:val="false"/>
          <w:sz w:val="20"/>
        </w:rPr>
        <w:t>” means the Approved Drug Products with Therapeutic Equivalence Evaluations maintained by the FDA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judgment or decree.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certificate of incorporation, articles of incorporation, articles of association, bylaws or other charter or organizational documents of a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approval, clearance, authorization, certificate, consent, license, accreditation, Order or permits or other similar authorization of any Governmental Body or under any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in a party’s or its Subsidiaries’ possession that identifies or could be used to identify an individual, household or device including information that constitutes “personal data,” “personal information” or similar term as defined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Products</w:t>
      </w:r>
      <w:r>
        <w:rPr>
          <w:rFonts w:ascii="Times New Roman;Times;Serif" w:hAnsi="Times New Roman;Times;Serif"/>
          <w:b w:val="false"/>
          <w:i w:val="false"/>
          <w:caps w:val="false"/>
          <w:smallCaps w:val="false"/>
          <w:sz w:val="20"/>
        </w:rPr>
        <w:t>” means any product that Supernus or Indivior, as applicable, has manufactured, distributed, marketed or sold, or is manufacturing, distributing, marketing or selling and any products currently under preclinical or clinical development by Supernus or Indivior,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any director, officer, employee, accountant, consultant, legal counsel, financial advisor, agent or other representative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Financial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6.17(h)(vii)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Computershare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Option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RSU</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SOX</w:t>
      </w:r>
      <w:r>
        <w:rPr>
          <w:rFonts w:ascii="Times New Roman;Times;Serif" w:hAnsi="Times New Roman;Times;Serif"/>
          <w:b w:val="false"/>
          <w:i w:val="false"/>
          <w:caps w:val="false"/>
          <w:smallCaps w:val="false"/>
          <w:sz w:val="20"/>
        </w:rPr>
        <w:t>” shall mean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Dividend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Balance Sheet Date</w:t>
      </w:r>
      <w:r>
        <w:rPr>
          <w:rFonts w:ascii="Times New Roman;Times;Serif" w:hAnsi="Times New Roman;Times;Serif"/>
          <w:b w:val="false"/>
          <w:i w:val="false"/>
          <w:caps w:val="false"/>
          <w:smallCaps w:val="false"/>
          <w:sz w:val="20"/>
        </w:rPr>
        <w:t>” means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Board</w:t>
      </w:r>
      <w:r>
        <w:rPr>
          <w:rFonts w:ascii="Times New Roman;Times;Serif" w:hAnsi="Times New Roman;Times;Serif"/>
          <w:b w:val="false"/>
          <w:i w:val="false"/>
          <w:caps w:val="false"/>
          <w:smallCaps w:val="false"/>
          <w:sz w:val="20"/>
        </w:rPr>
        <w:t>” means the board of directors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Designees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Disclosure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Existing Loan Documents</w:t>
      </w:r>
      <w:r>
        <w:rPr>
          <w:rFonts w:ascii="Times New Roman;Times;Serif" w:hAnsi="Times New Roman;Times;Serif"/>
          <w:b w:val="false"/>
          <w:i w:val="false"/>
          <w:caps w:val="false"/>
          <w:smallCaps w:val="false"/>
          <w:sz w:val="20"/>
        </w:rPr>
        <w:t>” means that certain Credit Line Agreement, dated February 8, 2023, among Supernus and UBS Bank USA, and all other loan documents related thereto and entered into with respect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Equity Plans</w:t>
      </w:r>
      <w:r>
        <w:rPr>
          <w:rFonts w:ascii="Times New Roman;Times;Serif" w:hAnsi="Times New Roman;Times;Serif"/>
          <w:b w:val="false"/>
          <w:i w:val="false"/>
          <w:caps w:val="false"/>
          <w:smallCaps w:val="false"/>
          <w:sz w:val="20"/>
        </w:rPr>
        <w:t>” means Supernus’ Amended and Restated 2021 Equity Incentive Plan, as amended from time to time and Supernus’ Third Amended and Restated 2012 Equity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ESPP</w:t>
      </w:r>
      <w:r>
        <w:rPr>
          <w:rFonts w:ascii="Times New Roman;Times;Serif" w:hAnsi="Times New Roman;Times;Serif"/>
          <w:b w:val="false"/>
          <w:i w:val="false"/>
          <w:caps w:val="false"/>
          <w:smallCaps w:val="false"/>
          <w:sz w:val="20"/>
        </w:rPr>
        <w:t>” means Supernus’ Second Amended and Restated 2012 Employee Stock Purchase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ESPP Purchase Rights</w:t>
      </w:r>
      <w:r>
        <w:rPr>
          <w:rFonts w:ascii="Times New Roman;Times;Serif" w:hAnsi="Times New Roman;Times;Serif"/>
          <w:b w:val="false"/>
          <w:i w:val="false"/>
          <w:caps w:val="false"/>
          <w:smallCaps w:val="false"/>
          <w:sz w:val="20"/>
        </w:rPr>
        <w:t>” means rights to acquire Supernus Shares under the Supernus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Fee Allocation Percentage</w:t>
      </w:r>
      <w:r>
        <w:rPr>
          <w:rFonts w:ascii="Times New Roman;Times;Serif" w:hAnsi="Times New Roman;Times;Serif"/>
          <w:b w:val="false"/>
          <w:i w:val="false"/>
          <w:caps w:val="false"/>
          <w:smallCaps w:val="false"/>
          <w:sz w:val="20"/>
        </w:rPr>
        <w:t>” means 43.5%.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IP Contracts</w:t>
      </w:r>
      <w:r>
        <w:rPr>
          <w:rFonts w:ascii="Times New Roman;Times;Serif" w:hAnsi="Times New Roman;Times;Serif"/>
          <w:b w:val="false"/>
          <w:i w:val="false"/>
          <w:caps w:val="false"/>
          <w:smallCaps w:val="false"/>
          <w:sz w:val="20"/>
        </w:rPr>
        <w:t>”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Licensed Intellectual Property</w:t>
      </w:r>
      <w:r>
        <w:rPr>
          <w:rFonts w:ascii="Times New Roman;Times;Serif" w:hAnsi="Times New Roman;Times;Serif"/>
          <w:b w:val="false"/>
          <w:i w:val="false"/>
          <w:caps w:val="false"/>
          <w:smallCaps w:val="false"/>
          <w:sz w:val="20"/>
        </w:rPr>
        <w:t>” means all Intellectual Property that is licensed to Supernus or any of its Subsidiaries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Licenses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Material Adverse Effect</w:t>
      </w:r>
      <w:r>
        <w:rPr>
          <w:rFonts w:ascii="Times New Roman;Times;Serif" w:hAnsi="Times New Roman;Times;Serif"/>
          <w:b w:val="false"/>
          <w:i w:val="false"/>
          <w:caps w:val="false"/>
          <w:smallCaps w:val="false"/>
          <w:sz w:val="20"/>
        </w:rPr>
        <w:t>” means a Material Adverse Effect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Notice of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Option</w:t>
      </w:r>
      <w:r>
        <w:rPr>
          <w:rFonts w:ascii="Times New Roman;Times;Serif" w:hAnsi="Times New Roman;Times;Serif"/>
          <w:b w:val="false"/>
          <w:i w:val="false"/>
          <w:caps w:val="false"/>
          <w:smallCaps w:val="false"/>
          <w:sz w:val="20"/>
        </w:rPr>
        <w:t>” means each option to acquire Supernus Shares granted under a Supernus Equity Plan or pursuant to a stand-alone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Owned Intellectual Property</w:t>
      </w:r>
      <w:r>
        <w:rPr>
          <w:rFonts w:ascii="Times New Roman;Times;Serif" w:hAnsi="Times New Roman;Times;Serif"/>
          <w:b w:val="false"/>
          <w:i w:val="false"/>
          <w:caps w:val="false"/>
          <w:smallCaps w:val="false"/>
          <w:sz w:val="20"/>
        </w:rPr>
        <w:t>” means all Intellectual Property that is owned (in whole or in part) by Supernus or any of its Subsidiaries,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Plan</w:t>
      </w:r>
      <w:r>
        <w:rPr>
          <w:rFonts w:ascii="Times New Roman;Times;Serif" w:hAnsi="Times New Roman;Times;Serif"/>
          <w:b w:val="false"/>
          <w:i w:val="false"/>
          <w:caps w:val="false"/>
          <w:smallCaps w:val="false"/>
          <w:sz w:val="20"/>
        </w:rPr>
        <w:t>”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Preferred Stock</w:t>
      </w:r>
      <w:r>
        <w:rPr>
          <w:rFonts w:ascii="Times New Roman;Times;Serif" w:hAnsi="Times New Roman;Times;Serif"/>
          <w:b w:val="false"/>
          <w:i w:val="false"/>
          <w:caps w:val="false"/>
          <w:smallCaps w:val="false"/>
          <w:sz w:val="20"/>
        </w:rPr>
        <w:t>” means a share of preferred stock of Supernus,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PSU</w:t>
      </w:r>
      <w:r>
        <w:rPr>
          <w:rFonts w:ascii="Times New Roman;Times;Serif" w:hAnsi="Times New Roman;Times;Serif"/>
          <w:b w:val="false"/>
          <w:i w:val="false"/>
          <w:caps w:val="false"/>
          <w:smallCaps w:val="false"/>
          <w:sz w:val="20"/>
        </w:rPr>
        <w:t>” means each restricted stock unit granted under a Supernus Equity Plan that is subject to performance-based vesting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Recommendation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RSU</w:t>
      </w:r>
      <w:r>
        <w:rPr>
          <w:rFonts w:ascii="Times New Roman;Times;Serif" w:hAnsi="Times New Roman;Times;Serif"/>
          <w:b w:val="false"/>
          <w:i w:val="false"/>
          <w:caps w:val="false"/>
          <w:smallCaps w:val="false"/>
          <w:sz w:val="20"/>
        </w:rPr>
        <w:t>” means each restricted stock unit granted under a Supernus Equity Plan that is subject to solely time-based vesting restrictions and not performance-based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Share</w:t>
      </w:r>
      <w:r>
        <w:rPr>
          <w:rFonts w:ascii="Times New Roman;Times;Serif" w:hAnsi="Times New Roman;Times;Serif"/>
          <w:b w:val="false"/>
          <w:i w:val="false"/>
          <w:caps w:val="false"/>
          <w:smallCaps w:val="false"/>
          <w:sz w:val="20"/>
        </w:rPr>
        <w:t>” means a share of common stock of Supernus,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Share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Stockholders</w:t>
      </w:r>
      <w:r>
        <w:rPr>
          <w:rFonts w:ascii="Times New Roman;Times;Serif" w:hAnsi="Times New Roman;Times;Serif"/>
          <w:b w:val="false"/>
          <w:i w:val="false"/>
          <w:caps w:val="false"/>
          <w:smallCaps w:val="false"/>
          <w:sz w:val="20"/>
        </w:rPr>
        <w:t>” means all holders of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Stockholders’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Tax 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Supernus Voting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with respect to a party hereto,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Takeover Law</w:t>
      </w:r>
      <w:r>
        <w:rPr>
          <w:rFonts w:ascii="Times New Roman;Times;Serif" w:hAnsi="Times New Roman;Times;Serif"/>
          <w:b w:val="false"/>
          <w:i w:val="false"/>
          <w:caps w:val="false"/>
          <w:smallCaps w:val="false"/>
          <w:sz w:val="20"/>
        </w:rPr>
        <w:t>” means any “moratorium,” “control share acquisition,” “fair price,” “supermajority,” “affiliate transaction,” or “business combination” statute or regulation or other similar antitakeover laws of a state or any other Governmental Body, including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 Laws</w:t>
      </w:r>
      <w:r>
        <w:rPr>
          <w:rFonts w:ascii="Times New Roman;Times;Serif" w:hAnsi="Times New Roman;Times;Serif"/>
          <w:b w:val="false"/>
          <w:i w:val="false"/>
          <w:caps w:val="false"/>
          <w:smallCaps w:val="false"/>
          <w:sz w:val="20"/>
        </w:rPr>
        <w:t>” means all applicable import, export control, anti-boycott Laws, and economic sanctions or trade restrictions administered or enforced by the governments of the United States, the European Union or any member state thereof, or the United Kingdom (including His Majesty’s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shall mean a day on which Indivior Shares are traded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Transition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regulations promulgated under the Code, as such regulations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Exhibits, Schedules, the Supernus Disclosure Letter and the Indivior Disclosure Letter to this Agreement are attached hereto and by this reference incorporated herein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definition of or reference to any agreement, instrument, benefit plan or other document or any Law in this Agreement shall be construed as referring to such agreement, instrument or other document or Law as from time to time amended, supplemented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of this Agreement, in accordance with the DGCL, at the Effective Time, Merger Sub shall be merged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At the Effective Time, the separate corporate existence of Merger Sub shall cease, and Supernus shall continue as the surviving corporation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Immediately following the Effective Time, but subject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the Surviving Corporation shall be a wholly-owned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unless another date or time is mutually agreed upon in writing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provisions of this Agreement, at the Closing, the parties shall cause a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of Delaware or at such later date or time as may be agreed by Indivior and Supernus in writing and specified in the Certificate of Merger in accordance with the DGCL (the effective time of the Merger being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Certificate of Incorporation of Indivior; Corporate Governance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take all actions necessary so that, at or immediately prior to the Effective Time, Indivior shall cause the Indivior Board to amend Indivior’s certificate of incorporation, effective as of the Effective Time, to cause its name to be changed to Supernus,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and Supernus shall take all necessary corporate action so that, effective as of the Effective Time: (i) the board of directors of the Combined Company (the “</w:t>
      </w:r>
      <w:r>
        <w:rPr>
          <w:rFonts w:ascii="Times New Roman;Times;Serif" w:hAnsi="Times New Roman;Times;Serif"/>
          <w:b/>
          <w:i w:val="false"/>
          <w:caps w:val="false"/>
          <w:smallCaps w:val="false"/>
          <w:sz w:val="20"/>
        </w:rPr>
        <w:t>Combined Company Board</w:t>
      </w:r>
      <w:r>
        <w:rPr>
          <w:rFonts w:ascii="Times New Roman;Times;Serif" w:hAnsi="Times New Roman;Times;Serif"/>
          <w:b w:val="false"/>
          <w:i w:val="false"/>
          <w:caps w:val="false"/>
          <w:smallCaps w:val="false"/>
          <w:sz w:val="20"/>
        </w:rPr>
        <w:t>”) shall consist of an even number of directors, comprised of an equal number of individuals designated by Indivior (the “</w:t>
      </w:r>
      <w:r>
        <w:rPr>
          <w:rFonts w:ascii="Times New Roman;Times;Serif" w:hAnsi="Times New Roman;Times;Serif"/>
          <w:b/>
          <w:i w:val="false"/>
          <w:caps w:val="false"/>
          <w:smallCaps w:val="false"/>
          <w:sz w:val="20"/>
        </w:rPr>
        <w:t>Indivior Designees</w:t>
      </w:r>
      <w:r>
        <w:rPr>
          <w:rFonts w:ascii="Times New Roman;Times;Serif" w:hAnsi="Times New Roman;Times;Serif"/>
          <w:b w:val="false"/>
          <w:i w:val="false"/>
          <w:caps w:val="false"/>
          <w:smallCaps w:val="false"/>
          <w:sz w:val="20"/>
        </w:rPr>
        <w:t>”) as set forth in Section 2.5(b)(i) of the Indivior Disclosure Letter and individuals designated by Supernus (the “</w:t>
      </w:r>
      <w:r>
        <w:rPr>
          <w:rFonts w:ascii="Times New Roman;Times;Serif" w:hAnsi="Times New Roman;Times;Serif"/>
          <w:b/>
          <w:i w:val="false"/>
          <w:caps w:val="false"/>
          <w:smallCaps w:val="false"/>
          <w:sz w:val="20"/>
        </w:rPr>
        <w:t>Supernus Designees</w:t>
      </w:r>
      <w:r>
        <w:rPr>
          <w:rFonts w:ascii="Times New Roman;Times;Serif" w:hAnsi="Times New Roman;Times;Serif"/>
          <w:b w:val="false"/>
          <w:i w:val="false"/>
          <w:caps w:val="false"/>
          <w:smallCaps w:val="false"/>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(1)any replacement Indivior Designee or Chair of the Combined Company Board shall be subject to the prior written consent of Supernus (in its sole discretion) and (2) any replacement Supernus Designee shall be subject to the prior written consent of Indivior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Certificate of Incorporation and Bylaws of Surviving Corporation</w:t>
      </w:r>
      <w:r>
        <w:rPr>
          <w:rFonts w:ascii="Times New Roman;Times;Serif" w:hAnsi="Times New Roman;Times;Serif"/>
          <w:b w:val="false"/>
          <w:i w:val="false"/>
          <w:caps w:val="false"/>
          <w:smallCaps w:val="false"/>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Directors and Officers of the Surviving Corporation and Other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between the date of this Agreement and the Closing Date in order to comply with applicable Law or to allocate titles among such individuals), in each 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Treatment of Supernus Shares and Merger Sub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Indivior, Merger Sub, Supernus or any holder of shares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Supernus Share held as of the Effective Time by (1) Supernus as treasury shares or (2) by Indivior, Merger Sub, or any direct or indirect wholly owned Subsidiary of Supernus or Indivior (collectively, the “</w:t>
      </w:r>
      <w:r>
        <w:rPr>
          <w:rFonts w:ascii="Times New Roman;Times;Serif" w:hAnsi="Times New Roman;Times;Serif"/>
          <w:b/>
          <w:i w:val="false"/>
          <w:caps w:val="false"/>
          <w:smallCaps w:val="false"/>
          <w:sz w:val="20"/>
        </w:rPr>
        <w:t>Excluded Shares</w:t>
      </w:r>
      <w:r>
        <w:rPr>
          <w:rFonts w:ascii="Times New Roman;Times;Serif" w:hAnsi="Times New Roman;Times;Serif"/>
          <w:b w:val="false"/>
          <w:i w:val="false"/>
          <w:caps w:val="false"/>
          <w:smallCaps w:val="false"/>
          <w:sz w:val="20"/>
        </w:rPr>
        <w:t>”), shall be canceled and retired and shall cease to exist, and no consideration shall be delivered in exchange therefor;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and the consideration to be received in respect of each Supernus Share,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Treatment of Supernus Equity Awards</w:t>
      </w:r>
      <w:r>
        <w:rPr>
          <w:rFonts w:ascii="Times New Roman;Times;Serif" w:hAnsi="Times New Roman;Times;Serif"/>
          <w:b w:val="false"/>
          <w:i w:val="false"/>
          <w:caps w:val="false"/>
          <w:smallCaps w:val="false"/>
          <w:sz w:val="20"/>
        </w:rPr>
        <w:t>. At the Effective Time, by virtue of the Merger and without any further action on the part of Indivior, Merger Sub, Supernus or any holder of shares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Supernus RSU award that is then outstanding shall automatically, without any action on the part of the holder thereof, be assumed and converted into an award of restricted stock units of Indivior (each, a “</w:t>
      </w:r>
      <w:r>
        <w:rPr>
          <w:rFonts w:ascii="Times New Roman;Times;Serif" w:hAnsi="Times New Roman;Times;Serif"/>
          <w:b/>
          <w:i w:val="false"/>
          <w:caps w:val="false"/>
          <w:smallCaps w:val="false"/>
          <w:sz w:val="20"/>
        </w:rPr>
        <w:t>Rollover RSU</w:t>
      </w:r>
      <w:r>
        <w:rPr>
          <w:rFonts w:ascii="Times New Roman;Times;Serif" w:hAnsi="Times New Roman;Times;Serif"/>
          <w:b w:val="false"/>
          <w:i w:val="false"/>
          <w:caps w:val="false"/>
          <w:smallCaps w:val="false"/>
          <w:sz w:val="20"/>
        </w:rPr>
        <w:t>”)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Supernus Option that is then outstanding shall automatically, without any action on the part of the holder thereof, be assumed and converted into an option to acquire Indivior Shares (each, a “</w:t>
      </w:r>
      <w:r>
        <w:rPr>
          <w:rFonts w:ascii="Times New Roman;Times;Serif" w:hAnsi="Times New Roman;Times;Serif"/>
          <w:b/>
          <w:i w:val="false"/>
          <w:caps w:val="false"/>
          <w:smallCaps w:val="false"/>
          <w:sz w:val="20"/>
        </w:rPr>
        <w:t>Rollover Option</w:t>
      </w:r>
      <w:r>
        <w:rPr>
          <w:rFonts w:ascii="Times New Roman;Times;Serif" w:hAnsi="Times New Roman;Times;Serif"/>
          <w:b w:val="false"/>
          <w:i w:val="false"/>
          <w:caps w:val="false"/>
          <w:smallCaps w:val="false"/>
          <w:sz w:val="20"/>
        </w:rPr>
        <w:t>”)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shall take all actions that are necessary or desirable to effectuate the provisions of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Filing of S-8</w:t>
      </w:r>
      <w:r>
        <w:rPr>
          <w:rFonts w:ascii="Times New Roman;Times;Serif" w:hAnsi="Times New Roman;Times;Serif"/>
          <w:b w:val="false"/>
          <w:i w:val="false"/>
          <w:caps w:val="false"/>
          <w:smallCaps w:val="false"/>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Closing of Supernus Transfer Books</w:t>
      </w:r>
      <w:r>
        <w:rPr>
          <w:rFonts w:ascii="Times New Roman;Times;Serif" w:hAnsi="Times New Roman;Times;Serif"/>
          <w:b w:val="false"/>
          <w:i w:val="false"/>
          <w:caps w:val="false"/>
          <w:smallCaps w:val="false"/>
          <w:sz w:val="20"/>
        </w:rPr>
        <w:t>. At the Effective Time: (a)(i) each certificate formerly representing any Supernus Share (other than an Excluded Share) (“</w:t>
      </w:r>
      <w:r>
        <w:rPr>
          <w:rFonts w:ascii="Times New Roman;Times;Serif" w:hAnsi="Times New Roman;Times;Serif"/>
          <w:b/>
          <w:i w:val="false"/>
          <w:caps w:val="false"/>
          <w:smallCaps w:val="false"/>
          <w:sz w:val="20"/>
        </w:rPr>
        <w:t>Supernus Share Certificate</w:t>
      </w:r>
      <w:r>
        <w:rPr>
          <w:rFonts w:ascii="Times New Roman;Times;Serif" w:hAnsi="Times New Roman;Times;Serif"/>
          <w:b w:val="false"/>
          <w:i w:val="false"/>
          <w:caps w:val="false"/>
          <w:smallCaps w:val="false"/>
          <w:sz w:val="20"/>
        </w:rPr>
        <w:t>”) and (ii) each uncertificated Supernus Share (“</w:t>
      </w:r>
      <w:r>
        <w:rPr>
          <w:rFonts w:ascii="Times New Roman;Times;Serif" w:hAnsi="Times New Roman;Times;Serif"/>
          <w:b/>
          <w:i w:val="false"/>
          <w:caps w:val="false"/>
          <w:smallCaps w:val="false"/>
          <w:sz w:val="20"/>
        </w:rPr>
        <w:t>Book-Entry Share</w:t>
      </w:r>
      <w:r>
        <w:rPr>
          <w:rFonts w:ascii="Times New Roman;Times;Serif" w:hAnsi="Times New Roman;Times;Serif"/>
          <w:b w:val="false"/>
          <w:i w:val="false"/>
          <w:caps w:val="false"/>
          <w:smallCaps w:val="false"/>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and any dividends or other distributions to which the holders thereof are entitled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the Surviving Corporation or to Indivior, such Supernus Share Certificate shall be cancelled and shall be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Exchange Fund; Exchange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Indivior and Supernus shall mutually select a bank or trust company, which may be the transfer agent for the Indivior Shares, to act as exchange agent in the Merger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and, not later than the Effective Time, Indivior shall enter into an agreement with such bank or trust company, which agreement shall be reasonably acceptable to Supernus (the “</w:t>
      </w:r>
      <w:r>
        <w:rPr>
          <w:rFonts w:ascii="Times New Roman;Times;Serif" w:hAnsi="Times New Roman;Times;Serif"/>
          <w:b/>
          <w:i w:val="false"/>
          <w:caps w:val="false"/>
          <w:smallCaps w:val="false"/>
          <w:sz w:val="20"/>
        </w:rPr>
        <w:t>Exchange Agency Agreement</w:t>
      </w:r>
      <w:r>
        <w:rPr>
          <w:rFonts w:ascii="Times New Roman;Times;Serif" w:hAnsi="Times New Roman;Times;Serif"/>
          <w:b w:val="false"/>
          <w:i w:val="false"/>
          <w:caps w:val="false"/>
          <w:smallCaps w:val="false"/>
          <w:sz w:val="20"/>
        </w:rPr>
        <w:t xml:space="preserve">”), for the payment of the Merger Consideration as provided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Times;Serif" w:hAnsi="Times New Roman;Times;Serif"/>
          <w:b w:val="false"/>
          <w:i w:val="false"/>
          <w:caps w:val="false"/>
          <w:smallCaps w:val="false"/>
          <w:sz w:val="20"/>
          <w:u w:val="single"/>
        </w:rPr>
        <w:t>Section 2.8(a)(ii)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for delivery to the Merger Consideration recipients entitled thereto (such Indivior Shares being the “</w:t>
      </w:r>
      <w:r>
        <w:rPr>
          <w:rFonts w:ascii="Times New Roman;Times;Serif" w:hAnsi="Times New Roman;Times;Serif"/>
          <w:b/>
          <w:i w:val="false"/>
          <w:caps w:val="false"/>
          <w:smallCaps w:val="false"/>
          <w:sz w:val="20"/>
        </w:rPr>
        <w:t>Exchange Fund</w:t>
      </w:r>
      <w:r>
        <w:rPr>
          <w:rFonts w:ascii="Times New Roman;Times;Serif" w:hAnsi="Times New Roman;Times;Serif"/>
          <w:b w:val="false"/>
          <w:i w:val="false"/>
          <w:caps w:val="false"/>
          <w:smallCaps w:val="false"/>
          <w:sz w:val="20"/>
        </w:rPr>
        <w:t xml:space="preserve">”) and (ii) cash sufficient to make payments in lieu of fractional shares in accordance with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for delivery to the Merger Consideration recipients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cancel such Book-Entry Shares; and (ii) mail to each holder of Book-Entry Shares a check in the amount of any cash payable in respect of such holder’s Book-Entry Shares pursuant to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(and cash in lieu of any fractional Indivior Shares pursuant to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(B) the Supernus Share Certificate so surrendered shall immediately be canceled. Until surrendered as contemplated by this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as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Indivior Shares to be issued and delivered to the Exchange Agent pursuant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Times;Serif" w:hAnsi="Times New Roman;Times;Serif"/>
          <w:b w:val="false"/>
          <w:i w:val="false"/>
          <w:caps w:val="false"/>
          <w:smallCaps w:val="false"/>
          <w:sz w:val="20"/>
          <w:u w:val="single"/>
        </w:rPr>
        <w:t>Section 2.12(f)</w:t>
      </w:r>
      <w:r>
        <w:rPr>
          <w:rFonts w:ascii="Times New Roman;Times;Serif" w:hAnsi="Times New Roman;Times;Serif"/>
          <w:b w:val="false"/>
          <w:i w:val="false"/>
          <w:caps w:val="false"/>
          <w:smallCaps w:val="false"/>
          <w:sz w:val="20"/>
        </w:rPr>
        <w:t xml:space="preserve">, as well as any holders of Book-Entry Shares who have not theretofore cashed any check payable to them in accordance with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shall thereafter look only to Indivior for satisfaction of their claims for Indivior Shares, cash in lieu of fractional Indivior Shares and any dividends or distributions with respect to Indivior Shares, subject to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Interest; No Liability</w:t>
      </w:r>
      <w:r>
        <w:rPr>
          <w:rFonts w:ascii="Times New Roman;Times;Serif" w:hAnsi="Times New Roman;Times;Serif"/>
          <w:b w:val="false"/>
          <w:i w:val="false"/>
          <w:caps w:val="false"/>
          <w:smallCaps w:val="false"/>
          <w:sz w:val="20"/>
        </w:rPr>
        <w:t xml:space="preserve">. All payments made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Adjustments to Prevent Dilution</w:t>
      </w:r>
      <w:r>
        <w:rPr>
          <w:rFonts w:ascii="Times New Roman;Times;Serif" w:hAnsi="Times New Roman;Times;Serif"/>
          <w:b w:val="false"/>
          <w:i w:val="false"/>
          <w:caps w:val="false"/>
          <w:smallCaps w:val="false"/>
          <w:sz w:val="20"/>
        </w:rPr>
        <w:t>.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distribution, recapitalization, merger, subdivision, issuer tender or exchange offer, or other similar transaction, the consideration paid in accordance with this Agreement, including the Exchange Ratio, shall be equitably adjusted to reflect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No Appraisal Rights.</w:t>
      </w:r>
      <w:r>
        <w:rPr>
          <w:rFonts w:ascii="Times New Roman;Times;Serif" w:hAnsi="Times New Roman;Times;Serif"/>
          <w:b w:val="false"/>
          <w:i w:val="false"/>
          <w:caps w:val="false"/>
          <w:smallCaps w:val="false"/>
          <w:sz w:val="20"/>
        </w:rPr>
        <w:t xml:space="preserve"> In accordance with Section 262 of the DGCL, no appraisal rights shall be available to Supernus Stockholders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Times;Serif" w:hAnsi="Times New Roman;Times;Serif"/>
          <w:b/>
          <w:i w:val="false"/>
          <w:caps w:val="false"/>
          <w:smallCaps w:val="false"/>
          <w:sz w:val="20"/>
        </w:rPr>
        <w:t>Supernus Disclosure Letter</w:t>
      </w:r>
      <w:r>
        <w:rPr>
          <w:rFonts w:ascii="Times New Roman;Times;Serif" w:hAnsi="Times New Roman;Times;Serif"/>
          <w:b w:val="false"/>
          <w:i w:val="false"/>
          <w:caps w:val="false"/>
          <w:smallCaps w:val="false"/>
          <w:sz w:val="20"/>
        </w:rPr>
        <w:t>”)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 and Corporate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Authorization; Valid and Binding Agreement.</w:t>
      </w:r>
      <w:r>
        <w:rPr>
          <w:rFonts w:ascii="Times New Roman;Times;Serif" w:hAnsi="Times New Roman;Times;Serif"/>
          <w:b w:val="false"/>
          <w:i w:val="false"/>
          <w:caps w:val="false"/>
          <w:smallCaps w:val="false"/>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Supernus consists of (i) 130,000,000 Supernus Shares, $0.001 par value per share, of which, as of July 28, 2026 (the “</w:t>
      </w:r>
      <w:r>
        <w:rPr>
          <w:rFonts w:ascii="Times New Roman;Times;Serif" w:hAnsi="Times New Roman;Times;Serif"/>
          <w:b/>
          <w:i w:val="false"/>
          <w:caps w:val="false"/>
          <w:smallCaps w:val="false"/>
          <w:sz w:val="20"/>
        </w:rPr>
        <w:t>Measurement Date</w:t>
      </w:r>
      <w:r>
        <w:rPr>
          <w:rFonts w:ascii="Times New Roman;Times;Serif" w:hAnsi="Times New Roman;Times;Serif"/>
          <w:b w:val="false"/>
          <w:i w:val="false"/>
          <w:caps w:val="false"/>
          <w:smallCaps w:val="false"/>
          <w:sz w:val="20"/>
        </w:rPr>
        <w:t>”),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outstanding Supernus Options, Supernus RSUs, Supernus PSUs and Supernus ESPP Purchase Rights have been duly authorized by all necessary corporate action and were granted in accordance with the terms of all applicable Plans and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there is no stockholder rights plan, “poison pill” antitakeover plan or similar device in effect to which Supernus or any of its Subsidiaries is subject, a party to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beneficially, directly or indirectly, by Supernus free and clear of all Liens (other than Permitted Liens). None of Supernus’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Times;Serif" w:hAnsi="Times New Roman;Times;Serif"/>
          <w:b/>
          <w:i w:val="false"/>
          <w:caps w:val="false"/>
          <w:smallCaps w:val="false"/>
          <w:sz w:val="20"/>
        </w:rPr>
        <w:t>Supernus Subsidiary Securities</w:t>
      </w:r>
      <w:r>
        <w:rPr>
          <w:rFonts w:ascii="Times New Roman;Times;Serif" w:hAnsi="Times New Roman;Times;Serif"/>
          <w:b w:val="false"/>
          <w:i w:val="false"/>
          <w:caps w:val="false"/>
          <w:smallCaps w:val="false"/>
          <w:sz w:val="20"/>
        </w:rPr>
        <w:t>”).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have been obtained and all filings and obligations described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Consents, etc</w:t>
      </w:r>
      <w:r>
        <w:rPr>
          <w:rFonts w:ascii="Times New Roman;Times;Serif" w:hAnsi="Times New Roman;Times;Serif"/>
          <w:b w:val="false"/>
          <w:i w:val="false"/>
          <w:caps w:val="false"/>
          <w:smallCaps w:val="false"/>
          <w:sz w:val="20"/>
        </w:rPr>
        <w:t>.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SEC Reports;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Times;Serif" w:hAnsi="Times New Roman;Times;Serif"/>
          <w:b/>
          <w:i w:val="false"/>
          <w:caps w:val="false"/>
          <w:smallCaps w:val="false"/>
          <w:sz w:val="20"/>
        </w:rPr>
        <w:t>Supernus SEC Documents</w:t>
      </w:r>
      <w:r>
        <w:rPr>
          <w:rFonts w:ascii="Times New Roman;Times;Serif" w:hAnsi="Times New Roman;Times;Serif"/>
          <w:b w:val="false"/>
          <w:i w:val="false"/>
          <w:caps w:val="false"/>
          <w:smallCaps w:val="false"/>
          <w:sz w:val="20"/>
        </w:rPr>
        <w:t>”).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Supernus is in material compliance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Absence of Certain Developments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Supernus Balance Sheet Date, there has not been any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amended or modified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sold, leased, assigned, transferred or purchased any material tangible assets, in each case in a single or related series of transactions,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declared or paid any dividend or other distribution of the assets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as required by applicable Law, adopted or materially amended any Supernus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hired or terminated any of its officers or employees with fixed annual compensation in excess of $300,000, with respect to non-officer employees, other than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entered into, amended or modified any collective bargaining agreement or Contract with any labor union, trade organization or other employee representative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commenced or settled any Action in which the amount in dispute is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made any material change in accounting principles, methods, procedures or policies, except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made, changed or revoked any material Tax election, or settled or compromised any material Tax claim or liabilities, or filed any substantially amended material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authorized, proposed, entered into or agreed to enter into any plan of liquidation, dissolution or other reorganization or authorized, proposed, entered into or agreed to enter into any merger, consolidation or business combination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except in the ordinary course of business consistent with past practice, incurred or discharged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made capital expenditures individually in excess of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suffered any material damage, destruction or loss, whether or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been subject to any written claim or written threat of infringement, misappropriation or other violation by or against Supernus or any of its Subsidiaries of Intellectual Property rights of Supernus or any of its Subsidiaries or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materially reduced the amount of any insurance coverage provided by existing insurance policies;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committed to do or take any of the actions described in the foregoing clauses (i) through (xix).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does not own any real property. The leased real property described in Section 3.10(b) of the Supernus Disclosure Letter (the “</w:t>
      </w:r>
      <w:r>
        <w:rPr>
          <w:rFonts w:ascii="Times New Roman;Times;Serif" w:hAnsi="Times New Roman;Times;Serif"/>
          <w:b/>
          <w:i w:val="false"/>
          <w:caps w:val="false"/>
          <w:smallCaps w:val="false"/>
          <w:sz w:val="20"/>
        </w:rPr>
        <w:t>Supernus Real Property</w:t>
      </w:r>
      <w:r>
        <w:rPr>
          <w:rFonts w:ascii="Times New Roman;Times;Serif" w:hAnsi="Times New Roman;Times;Serif"/>
          <w:b w:val="false"/>
          <w:i w:val="false"/>
          <w:caps w:val="false"/>
          <w:smallCaps w:val="false"/>
          <w:sz w:val="20"/>
        </w:rPr>
        <w:t>”)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non-U.S., federal, state or local Tax audits or administrative or judicial Tax proceedings are pending or being conducted with respect to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Supernus nor any of its Subsidiaries has been a “distributing corporation” or a “controlled corporation” within the meaning of Section 355(a)(1)(A) of the Code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Supernus nor any of its Subsidiaries has taken advantage of any relief or Tax deferral provisions or any carryback of net operating losses or similar Tax items related to COVID-19 for Tax purposes whether federal, state, local or foreign, including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Supernus nor any of its Subsidiaries has knowledge of any facts, or has taken or plans to take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none of Supernus or any of its Subsidiaries is a party to or bound by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collective bargaining agreement or Contract with any labor union, trade organization or similar employee representative body (other than any statutorily mandated agreement in non-U.S.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for the engagement or employment of any employee or other Person on a full-time, part-time, consulting or other basis with (a) annual compensation equal to or in excess of $300,000 or (b) severance, change in control or other similar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Contract establishing any joint ventures, partnerships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Government Contract, apart from Contracts with Centers for Medicare and Medicaid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Supernus IP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Contract between Supernus, on the one hand, and any Affiliate of Supernus (other than a Subsidiary of Supernus),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 containing a right of first refusal, right of first negotiation or right of first offer in favor of a party other than Supernus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 under which Supernus and Supernus’ Subsidiaries are expected to make annual expenditures (excluding sales commissions) or receive annual revenues in excess of $1,000,000 during the current or a subsequent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 to enter into any Contract of the type described in the foregoing clauses (i) through (xiii).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Times;Serif" w:hAnsi="Times New Roman;Times;Serif"/>
          <w:b/>
          <w:i w:val="false"/>
          <w:caps w:val="false"/>
          <w:smallCaps w:val="false"/>
          <w:sz w:val="20"/>
        </w:rPr>
        <w:t>Supernus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Supernus Material Contracts</w:t>
      </w:r>
      <w:r>
        <w:rPr>
          <w:rFonts w:ascii="Times New Roman;Times;Serif" w:hAnsi="Times New Roman;Times;Serif"/>
          <w:b w:val="false"/>
          <w:i w:val="false"/>
          <w:caps w:val="false"/>
          <w:smallCaps w:val="false"/>
          <w:sz w:val="20"/>
        </w:rPr>
        <w:t>”) and (ii) to Supernus’ knowledge, as of the date hereof, the parties other than Supernus or any of its Subsidiaries to each of the Supernus Material Contracts is 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Times;Serif" w:hAnsi="Times New Roman;Times;Serif"/>
          <w:b/>
          <w:i w:val="false"/>
          <w:caps w:val="false"/>
          <w:smallCaps w:val="false"/>
          <w:sz w:val="20"/>
        </w:rPr>
        <w:t>Supernus Registered Intellectual Property</w:t>
      </w:r>
      <w:r>
        <w:rPr>
          <w:rFonts w:ascii="Times New Roman;Times;Serif" w:hAnsi="Times New Roman;Times;Serif"/>
          <w:b w:val="false"/>
          <w:i w:val="false"/>
          <w:caps w:val="false"/>
          <w:smallCaps w:val="false"/>
          <w:sz w:val="20"/>
        </w:rPr>
        <w:t>”)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sz w:val="20"/>
          <w:u w:val="single"/>
        </w:rPr>
        <w:t>Section 3.13(e)</w:t>
      </w:r>
      <w:r>
        <w:rPr>
          <w:rFonts w:ascii="Times New Roman;Times;Serif" w:hAnsi="Times New Roman;Times;Serif"/>
          <w:b w:val="false"/>
          <w:i w:val="false"/>
          <w:caps w:val="false"/>
          <w:smallCaps w:val="false"/>
          <w:sz w:val="20"/>
        </w:rPr>
        <w:t> below, and (iii) will continue to own, license or have the right to use all such Intellectual Property in clauses (i) and (ii) immediately following the Closing to the same extent as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applicable, governing the security, privacy, transfer and use of Personal Data, contractual obligations applicable to the processing of Personal Data and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Supernus’ knowledge, since January 1, 2023, none of Supernus or any of its Subsidiaries has been under investigation by any state, federal, or foreign jurisdiction regarding its protection, storage, use, disclosure, and transfer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requirements of the Code, ERISA and other 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Compliance with Law; Permits;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and its Subsidiaries are, and for the past six (6) years have been, in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past six (6) years, Supernus and its Subsidiaries have maintained an adequate system or systems of internal controls reasonably designed to promote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Neither Supernus nor any of its Subsidiaries nor any of their respective directors, officers, employees or agents is a Sanctioned Person. Since April 24, 2019, (a) neither Supernus nor any of its 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Environmental Compliance and Conditions</w:t>
      </w:r>
      <w:r>
        <w:rPr>
          <w:rFonts w:ascii="Times New Roman;Times;Serif" w:hAnsi="Times New Roman;Times;Serif"/>
          <w:b w:val="false"/>
          <w:i w:val="false"/>
          <w:caps w:val="false"/>
          <w:smallCaps w:val="false"/>
          <w:sz w:val="20"/>
        </w:rPr>
        <w:t>.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Employment and Labor Matters</w:t>
      </w:r>
      <w:r>
        <w:rPr>
          <w:rFonts w:ascii="Times New Roman;Times;Serif" w:hAnsi="Times New Roman;Times;Serif"/>
          <w:b w:val="false"/>
          <w:i w:val="false"/>
          <w:caps w:val="false"/>
          <w:smallCaps w:val="false"/>
          <w:sz w:val="20"/>
        </w:rPr>
        <w:t>.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Times;Serif" w:hAnsi="Times New Roman;Times;Serif"/>
          <w:b/>
          <w:i w:val="false"/>
          <w:caps w:val="false"/>
          <w:smallCaps w:val="false"/>
          <w:sz w:val="20"/>
        </w:rPr>
        <w:t>Misconduct Allegation</w:t>
      </w:r>
      <w:r>
        <w:rPr>
          <w:rFonts w:ascii="Times New Roman;Times;Serif" w:hAnsi="Times New Roman;Times;Serif"/>
          <w:b w:val="false"/>
          <w:i w:val="false"/>
          <w:caps w:val="false"/>
          <w:smallCaps w:val="false"/>
          <w:sz w:val="20"/>
        </w:rPr>
        <w:t>”)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FDA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Times;Serif" w:hAnsi="Times New Roman;Times;Serif"/>
          <w:b/>
          <w:i w:val="false"/>
          <w:caps w:val="false"/>
          <w:smallCaps w:val="false"/>
          <w:sz w:val="20"/>
        </w:rPr>
        <w:t>Supernus Licenses</w:t>
      </w:r>
      <w:r>
        <w:rPr>
          <w:rFonts w:ascii="Times New Roman;Times;Serif" w:hAnsi="Times New Roman;Times;Serif"/>
          <w:b w:val="false"/>
          <w:i w:val="false"/>
          <w:caps w:val="false"/>
          <w:smallCaps w:val="false"/>
          <w:sz w:val="20"/>
        </w:rPr>
        <w:t>”),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2023, all preclinical and nonclinical studies and clinical investigations or clinical trials that have been or are being conducted by or on behalf of Supernus,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 With respect to each Government Contract to which Supernus is currently a party or has received final payment prior to the date hereof and to each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Times;Serif" w:hAnsi="Times New Roman;Times;Serif"/>
          <w:b/>
          <w:i w:val="false"/>
          <w:caps w:val="false"/>
          <w:smallCaps w:val="false"/>
          <w:sz w:val="20"/>
        </w:rPr>
        <w:t>FAR</w:t>
      </w:r>
      <w:r>
        <w:rPr>
          <w:rFonts w:ascii="Times New Roman;Times;Serif" w:hAnsi="Times New Roman;Times;Serif"/>
          <w:b w:val="false"/>
          <w:i w:val="false"/>
          <w:caps w:val="false"/>
          <w:smallCaps w:val="false"/>
          <w:sz w:val="20"/>
        </w:rPr>
        <w:t>”) to the extent applicable to the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Supernus, no reasonable basis exists to give rise to a material claim by a Governmental Body for fraud (as such concept is defined under the state or federal laws of the United States) in connection with any Government Contract;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will not apply to statements or omissions included in the Registration Statement or Joint Proxy Statement upon information furnished to Supernus in writing by Indivior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         </w:t>
      </w:r>
      <w:r>
        <w:rPr>
          <w:rFonts w:ascii="Times New Roman;Times;Serif" w:hAnsi="Times New Roman;Times;Serif"/>
          <w:b w:val="false"/>
          <w:i w:val="false"/>
          <w:caps w:val="false"/>
          <w:smallCaps w:val="false"/>
          <w:sz w:val="20"/>
          <w:u w:val="single"/>
        </w:rPr>
        <w:t>Board Approval; Vote Required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such resolutions have not been rescinded, modified or withdrawn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affirmative vote of the holders of a majority of all outstanding Supernus Shares entitled to vote thereon (the “</w:t>
      </w:r>
      <w:r>
        <w:rPr>
          <w:rFonts w:ascii="Times New Roman;Times;Serif" w:hAnsi="Times New Roman;Times;Serif"/>
          <w:b/>
          <w:i w:val="false"/>
          <w:caps w:val="false"/>
          <w:smallCaps w:val="false"/>
          <w:sz w:val="20"/>
        </w:rPr>
        <w:t>Supernus Stockholder Approval</w:t>
      </w:r>
      <w:r>
        <w:rPr>
          <w:rFonts w:ascii="Times New Roman;Times;Serif" w:hAnsi="Times New Roman;Times;Serif"/>
          <w:b w:val="false"/>
          <w:i w:val="false"/>
          <w:caps w:val="false"/>
          <w:smallCaps w:val="false"/>
          <w:sz w:val="20"/>
        </w:rPr>
        <w:t>”) is necessary to adopt this Agreement. Other than the Supernus Stockholder Approval, no other corporate proceeding is necessary to authorize the execution, delivery or performance of this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         </w:t>
      </w:r>
      <w:r>
        <w:rPr>
          <w:rFonts w:ascii="Times New Roman;Times;Serif" w:hAnsi="Times New Roman;Times;Serif"/>
          <w:b w:val="false"/>
          <w:i w:val="false"/>
          <w:caps w:val="false"/>
          <w:smallCaps w:val="false"/>
          <w:sz w:val="20"/>
          <w:u w:val="single"/>
        </w:rPr>
        <w:t>Opinion of Supernus’ Financial Advisor</w:t>
      </w:r>
      <w:r>
        <w:rPr>
          <w:rFonts w:ascii="Times New Roman;Times;Serif" w:hAnsi="Times New Roman;Times;Serif"/>
          <w:b w:val="false"/>
          <w:i w:val="false"/>
          <w:caps w:val="false"/>
          <w:smallCaps w:val="false"/>
          <w:sz w:val="20"/>
        </w:rPr>
        <w:t>.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w:t>
      </w:r>
      <w:r>
        <w:rPr>
          <w:rFonts w:ascii="Times New Roman;Times;Serif" w:hAnsi="Times New Roman;Times;Serif"/>
          <w:b w:val="false"/>
          <w:i w:val="false"/>
          <w:caps/>
          <w:sz w:val="20"/>
        </w:rPr>
        <w:t>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Indivior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Times;Serif" w:hAnsi="Times New Roman;Times;Serif"/>
          <w:b/>
          <w:i w:val="false"/>
          <w:caps w:val="false"/>
          <w:smallCaps w:val="false"/>
          <w:sz w:val="20"/>
        </w:rPr>
        <w:t>Indivior Disclosure Letter</w:t>
      </w:r>
      <w:r>
        <w:rPr>
          <w:rFonts w:ascii="Times New Roman;Times;Serif" w:hAnsi="Times New Roman;Times;Serif"/>
          <w:b w:val="false"/>
          <w:i w:val="false"/>
          <w:caps w:val="false"/>
          <w:smallCaps w:val="false"/>
          <w:sz w:val="20"/>
        </w:rPr>
        <w:t>”)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Organization and Corporate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Authorization; Valid and Binding Agreement</w:t>
      </w:r>
      <w:r>
        <w:rPr>
          <w:rFonts w:ascii="Times New Roman;Times;Serif" w:hAnsi="Times New Roman;Times;Serif"/>
          <w:b w:val="false"/>
          <w:i w:val="false"/>
          <w:caps w:val="false"/>
          <w:smallCaps w:val="false"/>
          <w:sz w:val="20"/>
        </w:rPr>
        <w:t>.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outstanding Indivior PSUs, Indivior RSUs, Indivior ESPP Purchase Rights and Indivior UK Option Plan Purchase Rights have been duly authorized by all necessary corporate action and were granted in accordance with the terms of all applicable Plans and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of this Agreement, there is no stockholder rights plan, “poison pill” antitakeover plan or similar device in effect to which Indivior or any of its Subsidiaries is subject, a party to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Times;Serif" w:hAnsi="Times New Roman;Times;Serif"/>
          <w:b/>
          <w:i w:val="false"/>
          <w:caps w:val="false"/>
          <w:smallCaps w:val="false"/>
          <w:sz w:val="20"/>
        </w:rPr>
        <w:t>Indivior Subsidiary Securities</w:t>
      </w:r>
      <w:r>
        <w:rPr>
          <w:rFonts w:ascii="Times New Roman;Times;Serif" w:hAnsi="Times New Roman;Times;Serif"/>
          <w:b w:val="false"/>
          <w:i w:val="false"/>
          <w:caps w:val="false"/>
          <w:smallCaps w:val="false"/>
          <w:sz w:val="20"/>
        </w:rPr>
        <w:t>”).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Indivior’s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have been obtained and all filings and obligations described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Consents, etc</w:t>
      </w:r>
      <w:r>
        <w:rPr>
          <w:rFonts w:ascii="Times New Roman;Times;Serif" w:hAnsi="Times New Roman;Times;Serif"/>
          <w:b w:val="false"/>
          <w:i w:val="false"/>
          <w:caps w:val="false"/>
          <w:smallCaps w:val="false"/>
          <w:sz w:val="20"/>
        </w:rPr>
        <w:t>.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SEC Reports; Disclosure Controls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Times;Serif" w:hAnsi="Times New Roman;Times;Serif"/>
          <w:b/>
          <w:i w:val="false"/>
          <w:caps w:val="false"/>
          <w:smallCaps w:val="false"/>
          <w:sz w:val="20"/>
        </w:rPr>
        <w:t>Indivior SEC Documents</w:t>
      </w:r>
      <w:r>
        <w:rPr>
          <w:rFonts w:ascii="Times New Roman;Times;Serif" w:hAnsi="Times New Roman;Times;Serif"/>
          <w:b w:val="false"/>
          <w:i w:val="false"/>
          <w:caps w:val="false"/>
          <w:smallCaps w:val="false"/>
          <w:sz w:val="20"/>
        </w:rPr>
        <w:t>”).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Indivior is in material compliance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Absence of Certain Developments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Indivior Balance Sheet Date, there has not been any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amended or modified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sold, leased, assigned, transferred or purchased any material tangible assets, in each case in a single or related series of transactions,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declared or paid any dividend or other distribution of the assets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as required by applicable Law, adopted or materially amended any Indivior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hired or terminated any of its officers or employees with fixed annual compensation in excess of $300,000, with respect to non-officer employees, other than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entered into, amended, or modified any collective bargaining agreement or Contract with any labor union, trade organization or other employee representative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commenced or settled any Action in which the amount in dispute is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made any material change in accounting principles, methods, procedures or policies, except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made, changed or revoked any material Tax election, or settled or compromised any material Tax claim or liabilities, or filed any substantially amended material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authorized, proposed, entered into or agreed to enter into any plan of liquidation, dissolution or other reorganization or authorized, proposed, entered into or agreed to enter into any merger, consolidation or business combination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except in the ordinary course of business consistent with past practice, incurred or discharged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made capital expenditures individually in excess of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suffered any material damage, destruction or loss, whether or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been subject to any written claim or written threat of infringement, misappropriation or other violation by or against Indivior or any of its Subsidiaries of Intellectual Property rights of Indivior or any of its Subsidiaries or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materially reduced the amount of any insurance coverage provided by existing insurance policies;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committed to do or take any of the actions described in the foregoing clauses (i) through (xix).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would not constitute an Indivior Material Adverse Effect. To Indivior’s knowledge, all such items of tangible personal property are in normal operating condition and repair (ordinary wear and tear excepted) and have been maintained in accordance with normal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Indivior Owned Real Property and leased real property described in Section 4.10(b) of the Indivior Disclosure Letter (the “</w:t>
      </w:r>
      <w:r>
        <w:rPr>
          <w:rFonts w:ascii="Times New Roman;Times;Serif" w:hAnsi="Times New Roman;Times;Serif"/>
          <w:b/>
          <w:i w:val="false"/>
          <w:caps w:val="false"/>
          <w:smallCaps w:val="false"/>
          <w:sz w:val="20"/>
        </w:rPr>
        <w:t>Indivior Real Property</w:t>
      </w:r>
      <w:r>
        <w:rPr>
          <w:rFonts w:ascii="Times New Roman;Times;Serif" w:hAnsi="Times New Roman;Times;Serif"/>
          <w:b w:val="false"/>
          <w:i w:val="false"/>
          <w:caps w:val="false"/>
          <w:smallCaps w:val="false"/>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Times;Serif" w:hAnsi="Times New Roman;Times;Serif"/>
          <w:b/>
          <w:i w:val="false"/>
          <w:caps w:val="false"/>
          <w:smallCaps w:val="false"/>
          <w:sz w:val="20"/>
        </w:rPr>
        <w:t>Indivior Owned Real Property</w:t>
      </w:r>
      <w:r>
        <w:rPr>
          <w:rFonts w:ascii="Times New Roman;Times;Serif" w:hAnsi="Times New Roman;Times;Serif"/>
          <w:b w:val="false"/>
          <w:i w:val="false"/>
          <w:caps w:val="false"/>
          <w:smallCaps w:val="false"/>
          <w:sz w:val="20"/>
        </w:rPr>
        <w:t>”),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non-U.S., federal, state or local Tax audits or administrative or judicial Tax proceedings are pending or being conducted with respect to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Indivior nor any of its Subsidiaries has been a “distributing corporation” or a “controlled corporation” within the meaning of Section 355(a)(1)(A) of the Code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Indivior nor any of its Subsidiaries has taken advantage of any relief or Tax deferral provisions or any carryback of net operating losses or similar Tax items related to COVID-19 for Tax purposes whether federal, state, local or foreign, including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Indivior nor any of its Subsidiaries has knowledge of any facts, or has taken or plans to take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Indivior nor any of its Subsidiaries has taken or omitted to take any action that could reasonably be expected to cause Indivior UK Limited to not be a “qualifying company” within the meaning of section 357B of the UK Corporation Tax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Section 4.12(a) of the Indivior Disclosure Letter, as of the date hereof, none of Indivior or any of its Subsidiaries is a party to or bound by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collective bargaining agreement or Contract with any labor union, trade organization or similar employee representative body (other than any statutorily mandated agreement in non-U.S.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for the engagement or employment of any employee or other Person on a full-time, part-time, consulting or other basis with (a) annual compensation equal to or in excess of $300,000 or (b) severance, change in control or other similar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Contract establishing any joint ventures, partnerships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Government Contract, apart from Contracts with Centers for Medicare and Medicaid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Indivior IP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Contract between Indivior, on the one hand, and any Affiliate of Indivior (other than a Subsidiary of Indivior),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 containing a right of first refusal, right of first negotiation or right of first offer in favor of a party other than Indivior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 under which Indivior and Indivior’s Subsidiaries are expected to make annual expenditures (excluding sales commissions), or receive annual revenues in excess of $1,000,000 during the current or a subsequent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 to enter into any Contract of the type described in the foregoing clauses (i) through (xiii).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Times;Serif" w:hAnsi="Times New Roman;Times;Serif"/>
          <w:b/>
          <w:i w:val="false"/>
          <w:caps w:val="false"/>
          <w:smallCaps w:val="false"/>
          <w:sz w:val="20"/>
        </w:rPr>
        <w:t>Indivior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Indivior Material Contracts</w:t>
      </w:r>
      <w:r>
        <w:rPr>
          <w:rFonts w:ascii="Times New Roman;Times;Serif" w:hAnsi="Times New Roman;Times;Serif"/>
          <w:b w:val="false"/>
          <w:i w:val="false"/>
          <w:caps w:val="false"/>
          <w:smallCaps w:val="false"/>
          <w:sz w:val="20"/>
        </w:rPr>
        <w:t>”)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patents, domain names, registered trademarks and service marks, registered copyrights and applications for any of the foregoing, that are currently owned by or exclusively licensed to Indivior or any of its Subsidiaries (collectively, “</w:t>
      </w:r>
      <w:r>
        <w:rPr>
          <w:rFonts w:ascii="Times New Roman;Times;Serif" w:hAnsi="Times New Roman;Times;Serif"/>
          <w:b/>
          <w:i w:val="false"/>
          <w:caps w:val="false"/>
          <w:smallCaps w:val="false"/>
          <w:sz w:val="20"/>
        </w:rPr>
        <w:t>Indivior Registered Intellectual Property</w:t>
      </w:r>
      <w:r>
        <w:rPr>
          <w:rFonts w:ascii="Times New Roman;Times;Serif" w:hAnsi="Times New Roman;Times;Serif"/>
          <w:b w:val="false"/>
          <w:i w:val="false"/>
          <w:caps w:val="false"/>
          <w:smallCaps w:val="false"/>
          <w:sz w:val="20"/>
        </w:rPr>
        <w:t>”)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sz w:val="20"/>
          <w:u w:val="single"/>
        </w:rPr>
        <w:t>Section 4.13(e)</w:t>
      </w:r>
      <w:r>
        <w:rPr>
          <w:rFonts w:ascii="Times New Roman;Times;Serif" w:hAnsi="Times New Roman;Times;Serif"/>
          <w:b w:val="false"/>
          <w:i w:val="false"/>
          <w:caps w:val="false"/>
          <w:smallCaps w:val="false"/>
          <w:sz w:val="20"/>
        </w:rPr>
        <w:t> below, and (iii) will continue to own, license or have the right to use all such Intellectual Property in clauses (i) and (ii) immediately following the Closing to the same extent as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party acting at Indivior’s direction or authorization has paid any perpetrator of any actual or threatened security incident or cyber-attack, including a ransomware attack or a denial-of-service attack.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Indivior’s knowledge, since January 1, 2023, none of Indivior or any of its Subsidiaries has been under investigation by any state, federal, or foreign jurisdiction regarding its protection, storage, use, disclosure, and transfer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or opinion letter; (vii) the most recently filed Form 5500; (viii) the most recent actuarial valuation report; and (ix) the last three years of compliance testing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Compliance with Law; Permits;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and its Subsidiaries are, and for the past six (6) years have been, in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past six (6) years, Indivior and its Subsidiaries have maintained an adequate system or systems of internal controls reasonably designed to promote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FTC Order</w:t>
      </w:r>
      <w:r>
        <w:rPr>
          <w:rFonts w:ascii="Times New Roman;Times;Serif" w:hAnsi="Times New Roman;Times;Serif"/>
          <w:b w:val="false"/>
          <w:i w:val="false"/>
          <w:caps w:val="false"/>
          <w:smallCaps w:val="false"/>
          <w:sz w:val="20"/>
        </w:rPr>
        <w:t>.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Environmental Compliance and Conditions</w:t>
      </w:r>
      <w:r>
        <w:rPr>
          <w:rFonts w:ascii="Times New Roman;Times;Serif" w:hAnsi="Times New Roman;Times;Serif"/>
          <w:b w:val="false"/>
          <w:i w:val="false"/>
          <w:caps w:val="false"/>
          <w:smallCaps w:val="false"/>
          <w:sz w:val="20"/>
        </w:rPr>
        <w:t>.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Employment and Labor Matters</w:t>
      </w:r>
      <w:r>
        <w:rPr>
          <w:rFonts w:ascii="Times New Roman;Times;Serif" w:hAnsi="Times New Roman;Times;Serif"/>
          <w:b w:val="false"/>
          <w:i w:val="false"/>
          <w:caps w:val="false"/>
          <w:smallCaps w:val="false"/>
          <w:sz w:val="20"/>
        </w:rPr>
        <w:t>.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FDA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 </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 With respect to each Government Contract to which Indivior is currently a party or has received final payment prior to the date hereof and to each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certifications executed, acknowledged or set forth in or pertaining to such Government Contract or Government Bid in the System for Award Management were current, accurate and complete as of their effective date, and Indivior and each of its Subsidiaries has complied in all material respects with all such representations and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Indivior, no reasonable basis exists to give rise to a material claim by a Governmental Body for fraud (as such concept is defined under the state or federal laws of the United States) in connection with any Government Contract;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will not apply to statements or omissions included in the Registration Statement or Joint Proxy Statement upon information furnished to Indivior in writing by Supernus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Board Approval; Vote Required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such resolutions have not been rescinded, modified or withdrawn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Times;Serif" w:hAnsi="Times New Roman;Times;Serif"/>
          <w:b/>
          <w:i w:val="false"/>
          <w:caps w:val="false"/>
          <w:smallCaps w:val="false"/>
          <w:sz w:val="20"/>
        </w:rPr>
        <w:t>Indivior Stockholder Approval</w:t>
      </w:r>
      <w:r>
        <w:rPr>
          <w:rFonts w:ascii="Times New Roman;Times;Serif" w:hAnsi="Times New Roman;Times;Serif"/>
          <w:b w:val="false"/>
          <w:i w:val="false"/>
          <w:caps w:val="false"/>
          <w:smallCaps w:val="false"/>
          <w:sz w:val="20"/>
        </w:rPr>
        <w:t>”) is necessary to approve the Indivior Share Issuance. Other than the Indivior Stockholder Approval, no other corporate proceeding is necessary to authorize the execution, delivery or performance of this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            </w:t>
      </w:r>
      <w:r>
        <w:rPr>
          <w:rFonts w:ascii="Times New Roman;Times;Serif" w:hAnsi="Times New Roman;Times;Serif"/>
          <w:b w:val="false"/>
          <w:i w:val="false"/>
          <w:caps w:val="false"/>
          <w:smallCaps w:val="false"/>
          <w:sz w:val="20"/>
          <w:u w:val="single"/>
        </w:rPr>
        <w:t>Opinions of Indivior’s Financial Advisors</w:t>
      </w:r>
      <w:r>
        <w:rPr>
          <w:rFonts w:ascii="Times New Roman;Times;Serif" w:hAnsi="Times New Roman;Times;Serif"/>
          <w:b w:val="false"/>
          <w:i w:val="false"/>
          <w:caps w:val="false"/>
          <w:smallCaps w:val="false"/>
          <w:sz w:val="20"/>
        </w:rPr>
        <w:t>. The Indivior Board has received separate opinions from Jefferies LLC and Piper Sandler &amp; Co.to the effect that, as of the date of such opinion and based upon and subject to the various matters, assumptions, qualifications and limitations set forth in their respective opinions, the Exchange Ratio provided for in the Merger is fair, from a financial point of view, to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has delivered to Supernus true, correct and complete copies of (i) an executed commitment letter, dated as of the date hereof, from the lenders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party thereto (such commitment letter, including all exhibits, schedules, annexes, joinders and amendments thereto, together with the below-defined Fee Letter, collectively, the “</w:t>
      </w:r>
      <w:r>
        <w:rPr>
          <w:rFonts w:ascii="Times New Roman;Times;Serif" w:hAnsi="Times New Roman;Times;Serif"/>
          <w:b/>
          <w:i w:val="false"/>
          <w:caps w:val="false"/>
          <w:smallCaps w:val="false"/>
          <w:sz w:val="20"/>
        </w:rPr>
        <w:t>Commitment Letter</w:t>
      </w:r>
      <w:r>
        <w:rPr>
          <w:rFonts w:ascii="Times New Roman;Times;Serif" w:hAnsi="Times New Roman;Times;Serif"/>
          <w:b w:val="false"/>
          <w:i w:val="false"/>
          <w:caps w:val="false"/>
          <w:smallCaps w:val="false"/>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Times;Serif" w:hAnsi="Times New Roman;Times;Serif"/>
          <w:b/>
          <w:i w:val="false"/>
          <w:caps w:val="false"/>
          <w:smallCaps w:val="false"/>
          <w:sz w:val="20"/>
        </w:rPr>
        <w:t>Committed Financing</w:t>
      </w:r>
      <w:r>
        <w:rPr>
          <w:rFonts w:ascii="Times New Roman;Times;Serif" w:hAnsi="Times New Roman;Times;Serif"/>
          <w:b w:val="false"/>
          <w:i w:val="false"/>
          <w:caps w:val="false"/>
          <w:smallCaps w:val="false"/>
          <w:sz w:val="20"/>
        </w:rPr>
        <w:t>”), and (ii) any fee letters, dated as of the date hereof, associated with the Commitment Letter (including all exhibits, schedules, annexes, joinders and amendments thereto, collectively,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date hereof, assuming the satisfaction of conditions to the Merger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tab/>
        <w:t>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(a)</w:t>
        <w:tab/>
        <w:t xml:space="preserve">     . </w:t>
      </w:r>
      <w:r>
        <w:rPr>
          <w:rFonts w:ascii="Times New Roman;Times;Serif" w:hAnsi="Times New Roman;Times;Serif"/>
          <w:b w:val="false"/>
          <w:i w:val="false"/>
          <w:caps/>
          <w:sz w:val="20"/>
        </w:rPr>
        <w:t xml:space="preserve">EXCEPT FOR THE REPRESENTATIONS AND WARRANTIES CONTAINED IN </w:t>
      </w:r>
      <w:r>
        <w:rPr>
          <w:rFonts w:ascii="Times New Roman;Times;Serif" w:hAnsi="Times New Roman;Times;Serif"/>
          <w:b w:val="false"/>
          <w:i w:val="false"/>
          <w:caps/>
          <w:sz w:val="20"/>
          <w:u w:val="single"/>
        </w:rPr>
        <w:t>ARTICLE IV</w:t>
      </w:r>
      <w:r>
        <w:rPr>
          <w:rFonts w:ascii="Times New Roman;Times;Serif" w:hAnsi="Times New Roman;Times;Serif"/>
          <w:b w:val="false"/>
          <w:i w:val="false"/>
          <w:caps/>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RELATING TO 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Covenants of 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set forth on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set aside or pay any dividends on or make other distributions in respect of any of its capital stock or shares or directly or indirectly redeem, repurchase or otherwise acquire any shares of its capital stock or any Supernus Options, Supernus RSUs, Supernus PSUs or Supernus ESPP Purchase Rights with respect thereto except,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withholding of Supernus Shares to satisfy the exercise price or Tax obligations with respect to awards granted pursuant to the Supernus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declaration and payment of dividends by a direct or indirect wholly-owned Subsidiary of Supernus solely to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intercompany purchases of capital stock or share capital among one or more of Supernus and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purpose of fulfilling its obligations under the Supernus ESPP, to the extent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or propose to amend, or permit the adoption of any material amendment to any of the Organizational Documents of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effect a recapitalization, reclassification of shares, stock split, reverse stock split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adopt a plan of complete or partial liquidation, dissolution, consolidation, restructuring or recapitalization of Supernus or any of its “significant subsidiaries,” as defined in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capital expenditure except for (A) expenditures required by existing Contracts or (B) expenditures made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change any of its financial or Tax accounting methods or practices in any respect, except as required by GAAP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voluntarily add, amend, or withdraw any Orange Book patent listing with respect to any Product, or take any action that would reduce the period of any regulatory exclusivity applicable to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agree or commit to take any of the actions described in clauses (i) through (xvii) of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Covenants of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withholding of Indivior Shares to satisfy the exercise price or Tax obligations with respect to awards granted pursuant to the Indivior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declaration and payment of dividends by a direct or indirect wholly-owned Subsidiary of Indivior solely to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intercompany purchases of capital stock or share capital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purpose of fulfilling its obligations under the Indivior ESPP or the Indivior UK Option Plans, to the extent consistent with past practice;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Special Dividend (or Alternative Dividend, as applicable)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or propose to amend, or permit the adoption of any material amendment to any of the Organizational Documents of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effect a recapitalization, reclassification of shares, stock split, reverse stock split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adopt a plan of complete or partial liquidation, dissolution, consolidation, restructuring or recapitalization of Indivior or any of its “significant subsidiaries,” as defined in Rule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capital expenditure except for (A) expenditures required by existing Contracts or (B) expenditures made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change any of its financial or Tax accounting methods or practices in any respect, except as required by GAAP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reasonably be expected to prevent or impede the Merger from qualifying as a “reorganization” within the meaning of Section 368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voluntarily add, amend, or withdraw any Orange Book patent listing with respect to any Product, or take any action that would reduce the period of any regulatory exclusivity applicable to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agree or commit to take any of the actions described in clauses (i) through (xvii) of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tab/>
        <w:t>     </w:t>
      </w:r>
      <w:r>
        <w:rPr>
          <w:rFonts w:ascii="Times New Roman;Times;Serif" w:hAnsi="Times New Roman;Times;Serif"/>
          <w:b w:val="false"/>
          <w:i w:val="false"/>
          <w:caps w:val="false"/>
          <w:smallCaps w:val="false"/>
          <w:sz w:val="20"/>
          <w:u w:val="single"/>
        </w:rPr>
        <w:t>Independent Operation; No Control Prior to Closing</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ADDITIONAL COVENANTS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hereby agree that all information provided to them or their respective Representatives in connection with this Agreement and the consummation of the transactions contemplated by this Agreement shall be deemed to be Confidential Information, as such term is used in, 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Registration Statement and Proxy Statement for Stockholder Approval</w:t>
      </w:r>
      <w:r>
        <w:rPr>
          <w:rFonts w:ascii="Times New Roman;Times;Serif" w:hAnsi="Times New Roman;Times;Serif"/>
          <w:b w:val="false"/>
          <w:i w:val="false"/>
          <w:caps w:val="false"/>
          <w:smallCaps w:val="false"/>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Times;Serif" w:hAnsi="Times New Roman;Times;Serif"/>
          <w:b/>
          <w:i w:val="false"/>
          <w:caps w:val="false"/>
          <w:smallCaps w:val="false"/>
          <w:sz w:val="20"/>
        </w:rPr>
        <w:t>Joint Proxy Statement</w:t>
      </w:r>
      <w:r>
        <w:rPr>
          <w:rFonts w:ascii="Times New Roman;Times;Serif" w:hAnsi="Times New Roman;Times;Serif"/>
          <w:b w:val="false"/>
          <w:i w:val="false"/>
          <w:caps w:val="false"/>
          <w:smallCaps w:val="false"/>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Each of Indivior and Supernus shall use its reasonable best efforts to 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Stockholders’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Times;Serif" w:hAnsi="Times New Roman;Times;Serif"/>
          <w:b/>
          <w:i w:val="false"/>
          <w:caps w:val="false"/>
          <w:smallCaps w:val="false"/>
          <w:sz w:val="20"/>
        </w:rPr>
        <w:t>Supernus Stockholders’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and the remainder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Times;Serif" w:hAnsi="Times New Roman;Times;Serif"/>
          <w:b w:val="false"/>
          <w:i w:val="false"/>
          <w:caps w:val="false"/>
          <w:smallCaps w:val="false"/>
          <w:sz w:val="20"/>
          <w:u w:val="single"/>
        </w:rPr>
        <w:t>Sections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Times;Serif" w:hAnsi="Times New Roman;Times;Serif"/>
          <w:b/>
          <w:i w:val="false"/>
          <w:caps w:val="false"/>
          <w:smallCaps w:val="false"/>
          <w:sz w:val="20"/>
        </w:rPr>
        <w:t>Indivior Stockholders’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xml:space="preserve"> and the remainder of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Stockholders’ Meeting to be less than ten (10) Business Days prior to the Termination Date. Subject to </w:t>
      </w:r>
      <w:r>
        <w:rPr>
          <w:rFonts w:ascii="Times New Roman;Times;Serif" w:hAnsi="Times New Roman;Times;Serif"/>
          <w:b w:val="false"/>
          <w:i w:val="false"/>
          <w:caps w:val="false"/>
          <w:smallCaps w:val="false"/>
          <w:sz w:val="20"/>
          <w:u w:val="single"/>
        </w:rPr>
        <w:t>Sections 6.4(e)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6.4(f)</w:t>
      </w:r>
      <w:r>
        <w:rPr>
          <w:rFonts w:ascii="Times New Roman;Times;Serif" w:hAnsi="Times New Roman;Times;Serif"/>
          <w:b w:val="false"/>
          <w:i w:val="false"/>
          <w:caps w:val="false"/>
          <w:smallCaps w:val="false"/>
          <w:sz w:val="20"/>
        </w:rPr>
        <w:t>,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proxies have been received by Indivior with respect to the Indivior Stockholder Approval and the number of such proxies authorizing the holder thereof to vote in favor of the Indivior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Supernus and Indivior shall use their reasonable best efforts to hold the Supernus Stockholders’ Meeting and the Indivior Stockholders’ Meeting on the same date and as soon as practicable after the date of this Agreement (but after the Registration Statement is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with respect to a third party if (A) Supernus receives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respect to Supernus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and so long as it sends a copy of such Acceptable Confidentiality Agreement to Indivior promptly following its execution. Nothing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prohibit Supernus or the Supernus Board from (1) taking and disclosing to the Supernus Stockholders a position with respect to an Acquisition Proposal with respect to Supernus 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provided that this sentence shall not permit the Supernus Board to make a Supernus Adverse Recommendation Change, except to the extent permitted by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by any of Supernus’ or its Subsidiaries’ respective Representatives shall be deemed to be a breach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by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sz w:val="20"/>
        </w:rPr>
        <w:t>Supernus Adverse Recommendation Change</w:t>
      </w:r>
      <w:r>
        <w:rPr>
          <w:rFonts w:ascii="Times New Roman;Times;Serif" w:hAnsi="Times New Roman;Times;Serif"/>
          <w:b w:val="false"/>
          <w:i w:val="false"/>
          <w:caps w:val="false"/>
          <w:smallCaps w:val="false"/>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response to an unsolicited Superior Proposal with respect to Supernus that has not been withdrawn and did not result from a breach of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the Supernus Board may make a Supernus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first sentence of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Change are independent of and unrelated to any pending Acquisition Proposal with respect to Supernus and (iii) provides written notice to Indivior (a “</w:t>
      </w:r>
      <w:r>
        <w:rPr>
          <w:rFonts w:ascii="Times New Roman;Times;Serif" w:hAnsi="Times New Roman;Times;Serif"/>
          <w:b/>
          <w:i w:val="false"/>
          <w:caps w:val="false"/>
          <w:smallCaps w:val="false"/>
          <w:sz w:val="20"/>
        </w:rPr>
        <w:t>Supernus Notice of Change</w:t>
      </w:r>
      <w:r>
        <w:rPr>
          <w:rFonts w:ascii="Times New Roman;Times;Serif" w:hAnsi="Times New Roman;Times;Serif"/>
          <w:b w:val="false"/>
          <w:i w:val="false"/>
          <w:caps w:val="false"/>
          <w:smallCaps w:val="false"/>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with respect to a third party if (A) Indivior receives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respect to Indivior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or (2) directing any Person (or the Representatives of that Person) who makes an Acquisition Proposal regarding Indivior to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provided that this sentence shall not permit the Indivior Board to make an Indivior Adverse Recommendation Change, except to the extent permitted by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by any of Indivior’s or its Subsidiaries’ respective Representatives shall be deemed to be a breach of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by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sz w:val="20"/>
        </w:rPr>
        <w:t>Indivior Adverse Recommendation Change</w:t>
      </w:r>
      <w:r>
        <w:rPr>
          <w:rFonts w:ascii="Times New Roman;Times;Serif" w:hAnsi="Times New Roman;Times;Serif"/>
          <w:b w:val="false"/>
          <w:i w:val="false"/>
          <w:caps w:val="false"/>
          <w:smallCaps w:val="false"/>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response to an unsolicited Superior Proposal with respect to Indivior that has not been withdrawn and did not result from a breach of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the Indivior Board may make an Indivior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first sentence of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Times;Serif" w:hAnsi="Times New Roman;Times;Serif"/>
          <w:b/>
          <w:i w:val="false"/>
          <w:caps w:val="false"/>
          <w:smallCaps w:val="false"/>
          <w:sz w:val="20"/>
        </w:rPr>
        <w:t>Indivior Notice of Change</w:t>
      </w:r>
      <w:r>
        <w:rPr>
          <w:rFonts w:ascii="Times New Roman;Times;Serif" w:hAnsi="Times New Roman;Times;Serif"/>
          <w:b w:val="false"/>
          <w:i w:val="false"/>
          <w:caps w:val="false"/>
          <w:smallCaps w:val="false"/>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respect to any changes or modifications to this Agreement which would allow the Indivior Board not to make such Indivior Adverse Recommendation Change, consistent with its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parties agree that in addition to the other obligations of Supernus and Indivior set forth in paragraphs (a) through (f)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to make an Acquisition Proposal subject to the terms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Regulatory Approvals; Additional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and Supernus each shall promptly (i) supply the other with any information reasonably required in order to effectuate the filing pursuant to the HSR Act described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Times;Serif" w:hAnsi="Times New Roman;Times;Serif"/>
          <w:b w:val="false"/>
          <w:i/>
          <w:caps w:val="false"/>
          <w:smallCaps w:val="false"/>
          <w:sz w:val="20"/>
        </w:rPr>
        <w:t>State of Wisconsin, et al. v. Indivior</w:t>
      </w:r>
      <w:r>
        <w:rPr>
          <w:rFonts w:ascii="Times New Roman;Times;Serif" w:hAnsi="Times New Roman;Times;Serif"/>
          <w:b w:val="false"/>
          <w:i w:val="false"/>
          <w:caps w:val="false"/>
          <w:smallCaps w:val="false"/>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and 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with respect to all (y) individuals who are employees or other services providers of Supernus or its Subsidiaries as of the Effective Time (the “</w:t>
      </w:r>
      <w:r>
        <w:rPr>
          <w:rFonts w:ascii="Times New Roman;Times;Serif" w:hAnsi="Times New Roman;Times;Serif"/>
          <w:b/>
          <w:i w:val="false"/>
          <w:caps w:val="false"/>
          <w:smallCaps w:val="false"/>
          <w:sz w:val="20"/>
        </w:rPr>
        <w:t>Supernus Employees</w:t>
      </w:r>
      <w:r>
        <w:rPr>
          <w:rFonts w:ascii="Times New Roman;Times;Serif" w:hAnsi="Times New Roman;Times;Serif"/>
          <w:b w:val="false"/>
          <w:i w:val="false"/>
          <w:caps w:val="false"/>
          <w:smallCaps w:val="false"/>
          <w:sz w:val="20"/>
        </w:rPr>
        <w:t>”), and (z) individuals who are employees or other service providers of Indivior or its Subsidiaries as of the Effective Time (the “</w:t>
      </w:r>
      <w:r>
        <w:rPr>
          <w:rFonts w:ascii="Times New Roman;Times;Serif" w:hAnsi="Times New Roman;Times;Serif"/>
          <w:b/>
          <w:i w:val="false"/>
          <w:caps w:val="false"/>
          <w:smallCaps w:val="false"/>
          <w:sz w:val="20"/>
        </w:rPr>
        <w:t>Indivior Employees</w:t>
      </w:r>
      <w:r>
        <w:rPr>
          <w:rFonts w:ascii="Times New Roman;Times;Serif" w:hAnsi="Times New Roman;Times;Serif"/>
          <w:b w:val="false"/>
          <w:i w:val="false"/>
          <w:caps w:val="false"/>
          <w:smallCaps w:val="false"/>
          <w:sz w:val="20"/>
        </w:rPr>
        <w:t>” and, together with Supernus Employees, the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who, in each case, are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Times;Serif" w:hAnsi="Times New Roman;Times;Serif"/>
          <w:b/>
          <w:i w:val="false"/>
          <w:caps w:val="false"/>
          <w:smallCaps w:val="false"/>
          <w:sz w:val="20"/>
        </w:rPr>
        <w:t>Qualified Offer</w:t>
      </w:r>
      <w:r>
        <w:rPr>
          <w:rFonts w:ascii="Times New Roman;Times;Serif" w:hAnsi="Times New Roman;Times;Serif"/>
          <w:b w:val="false"/>
          <w:i w:val="false"/>
          <w:caps w:val="false"/>
          <w:smallCaps w:val="false"/>
          <w:sz w:val="20"/>
        </w:rPr>
        <w:t>”). Each contingent offer of continuing employment shall be expressly contingent upon the consummation of the Merger and effective as of the Closing Date. An Indivior Employee shall be considered a “</w:t>
      </w:r>
      <w:r>
        <w:rPr>
          <w:rFonts w:ascii="Times New Roman;Times;Serif" w:hAnsi="Times New Roman;Times;Serif"/>
          <w:b/>
          <w:i w:val="false"/>
          <w:caps w:val="false"/>
          <w:smallCaps w:val="false"/>
          <w:sz w:val="20"/>
        </w:rPr>
        <w:t>Contingent Continuing Employee</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if such individual: (1) receives a Qualified Offer of at-will employment, or to continue employment, as applicable,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it shall not make any changes to the annual base salary or hourly wage rate (as applicable) or annual cash incentive opportunities of former Indivior Employees who become employees of the Combined Company or its Subsidiaries until twelve (12) months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Concurrent with the delivery of offer letters as set forth in </w:t>
      </w:r>
      <w:r>
        <w:rPr>
          <w:rFonts w:ascii="Times New Roman;Times;Serif" w:hAnsi="Times New Roman;Times;Serif"/>
          <w:b w:val="false"/>
          <w:i w:val="false"/>
          <w:caps w:val="false"/>
          <w:smallCaps w:val="false"/>
          <w:sz w:val="20"/>
          <w:u w:val="single"/>
        </w:rPr>
        <w:t>Section 6.6(a)(iv)</w:t>
      </w:r>
      <w:r>
        <w:rPr>
          <w:rFonts w:ascii="Times New Roman;Times;Serif" w:hAnsi="Times New Roman;Times;Serif"/>
          <w:b w:val="false"/>
          <w:i w:val="false"/>
          <w:caps w:val="false"/>
          <w:smallCaps w:val="false"/>
          <w:sz w:val="20"/>
        </w:rPr>
        <w:t>, Supernus will notify any Indivior Employees who will be receiving contingent transitional offers of employment with the Combined Company or one of its Subsidiaries (all such Employees, collectively, the “</w:t>
      </w:r>
      <w:r>
        <w:rPr>
          <w:rFonts w:ascii="Times New Roman;Times;Serif" w:hAnsi="Times New Roman;Times;Serif"/>
          <w:b/>
          <w:i w:val="false"/>
          <w:caps w:val="false"/>
          <w:smallCaps w:val="false"/>
          <w:sz w:val="20"/>
        </w:rPr>
        <w:t>Transition Employees</w:t>
      </w:r>
      <w:r>
        <w:rPr>
          <w:rFonts w:ascii="Times New Roman;Times;Serif" w:hAnsi="Times New Roman;Times;Serif"/>
          <w:b w:val="false"/>
          <w:i w:val="false"/>
          <w:caps w:val="false"/>
          <w:smallCaps w:val="false"/>
          <w:sz w:val="20"/>
        </w:rPr>
        <w:t>”),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Transition Employees whose employment terminates at the end of their transitional employment will be provided severance benefits in accordance with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after the Closing, the Combined Company will determine the terms and conditions of its severance policy and procedures. Receipt of severance pay pursuant to this </w:t>
      </w:r>
      <w:r>
        <w:rPr>
          <w:rFonts w:ascii="Times New Roman;Times;Serif" w:hAnsi="Times New Roman;Times;Serif"/>
          <w:b w:val="false"/>
          <w:i w:val="false"/>
          <w:caps w:val="false"/>
          <w:smallCaps w:val="false"/>
          <w:sz w:val="20"/>
          <w:u w:val="single"/>
        </w:rPr>
        <w:t>Section 6.6(a)(vi)</w:t>
      </w:r>
      <w:r>
        <w:rPr>
          <w:rFonts w:ascii="Times New Roman;Times;Serif" w:hAnsi="Times New Roman;Times;Serif"/>
          <w:b w:val="false"/>
          <w:i w:val="false"/>
          <w:caps w:val="false"/>
          <w:smallCaps w:val="false"/>
          <w:sz w:val="20"/>
        </w:rPr>
        <w:t xml:space="preserve"> shall be conditioned upon the applicable Employee’s execution of a separation agreement, and, to the extent permitted under applicable law and any applicable existing employment agreement or severance plan, such separation agreement may include the post-Closing cooperation obligations described in </w:t>
      </w:r>
      <w:r>
        <w:rPr>
          <w:rFonts w:ascii="Times New Roman;Times;Serif" w:hAnsi="Times New Roman;Times;Serif"/>
          <w:b w:val="false"/>
          <w:i w:val="false"/>
          <w:caps w:val="false"/>
          <w:smallCaps w:val="false"/>
          <w:sz w:val="20"/>
          <w:u w:val="single"/>
        </w:rPr>
        <w:t>Section 6.6(a)(xvii)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Times;Serif" w:hAnsi="Times New Roman;Times;Serif"/>
          <w:b w:val="false"/>
          <w:i w:val="false"/>
          <w:caps w:val="false"/>
          <w:smallCaps w:val="false"/>
          <w:sz w:val="20"/>
          <w:u w:val="single"/>
        </w:rPr>
        <w:t>Section 6.6(a)(xii)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Times;Serif" w:hAnsi="Times New Roman;Times;Serif"/>
          <w:b w:val="false"/>
          <w:i w:val="false"/>
          <w:caps w:val="false"/>
          <w:smallCaps w:val="false"/>
          <w:sz w:val="20"/>
          <w:u w:val="single"/>
        </w:rPr>
        <w:t>Section 6.6(a)(xii)</w:t>
      </w:r>
      <w:r>
        <w:rPr>
          <w:rFonts w:ascii="Times New Roman;Times;Serif" w:hAnsi="Times New Roman;Times;Serif"/>
          <w:b w:val="false"/>
          <w:i w:val="false"/>
          <w:caps w:val="false"/>
          <w:smallCaps w:val="false"/>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Times;Serif" w:hAnsi="Times New Roman;Times;Serif"/>
          <w:b w:val="false"/>
          <w:i w:val="false"/>
          <w:caps w:val="false"/>
          <w:smallCaps w:val="false"/>
          <w:sz w:val="20"/>
          <w:u w:val="single"/>
        </w:rPr>
        <w:t>Section 6.6(a)(ix)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Times;Serif" w:hAnsi="Times New Roman;Times;Serif"/>
          <w:b/>
          <w:i w:val="false"/>
          <w:caps w:val="false"/>
          <w:smallCaps w:val="false"/>
          <w:sz w:val="20"/>
        </w:rPr>
        <w:t>Indivior 401(k) Plan</w:t>
      </w:r>
      <w:r>
        <w:rPr>
          <w:rFonts w:ascii="Times New Roman;Times;Serif" w:hAnsi="Times New Roman;Times;Serif"/>
          <w:b w:val="false"/>
          <w:i w:val="false"/>
          <w:caps w:val="false"/>
          <w:smallCaps w:val="false"/>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Times;Serif" w:hAnsi="Times New Roman;Times;Serif"/>
          <w:b/>
          <w:i w:val="false"/>
          <w:caps w:val="false"/>
          <w:smallCaps w:val="false"/>
          <w:sz w:val="20"/>
        </w:rPr>
        <w:t>Indivior Deferred Compensation Plans</w:t>
      </w:r>
      <w:r>
        <w:rPr>
          <w:rFonts w:ascii="Times New Roman;Times;Serif" w:hAnsi="Times New Roman;Times;Serif"/>
          <w:b w:val="false"/>
          <w:i w:val="false"/>
          <w:caps w:val="false"/>
          <w:smallCaps w:val="false"/>
          <w:sz w:val="20"/>
        </w:rPr>
        <w:t>”),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The provisions of clauses (viii) through (ix) of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6.6(a)(xiv)</w:t>
      </w:r>
      <w:r>
        <w:rPr>
          <w:rFonts w:ascii="Times New Roman;Times;Serif" w:hAnsi="Times New Roman;Times;Serif"/>
          <w:b w:val="false"/>
          <w:i w:val="false"/>
          <w:caps w:val="false"/>
          <w:smallCaps w:val="false"/>
          <w:sz w:val="20"/>
        </w:rPr>
        <w:t> shall limit any obligation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It is the intent of the parties that awards under the Indivior Equity Plans shall remain outstanding in accordance with the applicable Indivior Equity Plan, subject to the treatment set forth in Section 6.6(a)(xvi) of the Indivior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The provisions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Times;Serif" w:hAnsi="Times New Roman;Times;Serif"/>
          <w:b w:val="false"/>
          <w:i w:val="false"/>
          <w:caps w:val="false"/>
          <w:smallCaps w:val="false"/>
          <w:sz w:val="20"/>
          <w:u w:val="single"/>
        </w:rPr>
        <w:t>Section 6.6(a)(xvii)</w:t>
      </w:r>
      <w:r>
        <w:rPr>
          <w:rFonts w:ascii="Times New Roman;Times;Serif" w:hAnsi="Times New Roman;Times;Serif"/>
          <w:b w:val="false"/>
          <w:i w:val="false"/>
          <w:caps w:val="false"/>
          <w:smallCaps w:val="false"/>
          <w:sz w:val="20"/>
        </w:rPr>
        <w:t> shall require any Employee to cooperate in a manner that would (1) conflict with such Employee’s legal rights or obligations, including any rights under applicable Law, or (2) waive any applicable privilege (including attorney-client privilege) or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Times;Serif" w:hAnsi="Times New Roman;Times;Serif"/>
          <w:b/>
          <w:i w:val="false"/>
          <w:caps w:val="false"/>
          <w:smallCaps w:val="false"/>
          <w:sz w:val="20"/>
        </w:rPr>
        <w:t>Indivior Non-U.S. Subs</w:t>
      </w:r>
      <w:r>
        <w:rPr>
          <w:rFonts w:ascii="Times New Roman;Times;Serif" w:hAnsi="Times New Roman;Times;Serif"/>
          <w:b w:val="false"/>
          <w:i w:val="false"/>
          <w:caps w:val="false"/>
          <w:smallCaps w:val="false"/>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Times;Serif" w:hAnsi="Times New Roman;Times;Serif"/>
          <w:b w:val="false"/>
          <w:i w:val="false"/>
          <w:caps w:val="false"/>
          <w:smallCaps w:val="false"/>
          <w:sz w:val="20"/>
          <w:u w:val="single"/>
        </w:rPr>
        <w:t>Section 6.6(a)(i)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Times;Serif" w:hAnsi="Times New Roman;Times;Serif"/>
          <w:b w:val="false"/>
          <w:i w:val="false"/>
          <w:caps w:val="false"/>
          <w:smallCaps w:val="false"/>
          <w:sz w:val="20"/>
          <w:u w:val="single"/>
        </w:rPr>
        <w:t>Section 6.7(b)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covenants contained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(c) any internal announcements to employees regarding the Merger, so long as such statements are consistent with previous press releases, public disclosures or public statements made jointly by the parties (or individually, if approved by the other party), or (d) subject to compliance by the parties in all respects with the terms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Nasdaq Listing of Additional Shares</w:t>
      </w:r>
      <w:r>
        <w:rPr>
          <w:rFonts w:ascii="Times New Roman;Times;Serif" w:hAnsi="Times New Roman;Times;Serif"/>
          <w:b w:val="false"/>
          <w:i w:val="false"/>
          <w:caps w:val="false"/>
          <w:smallCaps w:val="false"/>
          <w:sz w:val="20"/>
        </w:rPr>
        <w:t>.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Trading Symbol</w:t>
      </w:r>
      <w:r>
        <w:rPr>
          <w:rFonts w:ascii="Times New Roman;Times;Serif" w:hAnsi="Times New Roman;Times;Serif"/>
          <w:b w:val="false"/>
          <w:i w:val="false"/>
          <w:caps w:val="false"/>
          <w:smallCaps w:val="false"/>
          <w:sz w:val="20"/>
        </w:rPr>
        <w:t>.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Qualifying Company Compliance</w:t>
      </w:r>
      <w:r>
        <w:rPr>
          <w:rFonts w:ascii="Times New Roman;Times;Serif" w:hAnsi="Times New Roman;Times;Serif"/>
          <w:b w:val="false"/>
          <w:i w:val="false"/>
          <w:caps w:val="false"/>
          <w:smallCaps w:val="false"/>
          <w:sz w:val="20"/>
        </w:rPr>
        <w:t>. Indivior shall not, and shall cause each of its Subsidiaries not to, take or omit to take any action that could reasonably be expected to cause Indivior UK Limited to not be a “qualifying company” within the meaning of section 357B of the UK Corporation Tax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meaning of Section 368(a) of the Code. The parties shall treat, for U.S. federal income tax purposes, the Merger as a “reorganization” within the meaning of Section 368(a) of the Code and no party shall take any position for Tax purposes inconsistent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Times;Serif" w:hAnsi="Times New Roman;Times;Serif"/>
          <w:b/>
          <w:i w:val="false"/>
          <w:caps w:val="false"/>
          <w:smallCaps w:val="false"/>
          <w:sz w:val="20"/>
        </w:rPr>
        <w:t>Indivior Tax Counsel</w:t>
      </w:r>
      <w:r>
        <w:rPr>
          <w:rFonts w:ascii="Times New Roman;Times;Serif" w:hAnsi="Times New Roman;Times;Serif"/>
          <w:b w:val="false"/>
          <w:i w:val="false"/>
          <w:caps w:val="false"/>
          <w:smallCaps w:val="false"/>
          <w:sz w:val="20"/>
        </w:rPr>
        <w:t>”); and (ii) in the case of Supernus, a written opinion, in form and substance reasonably satisfactory to Supernus, of Saul Ewing LLP (or other nationally recognized tax counsel reasonably acceptable to Supernus) (“</w:t>
      </w:r>
      <w:r>
        <w:rPr>
          <w:rFonts w:ascii="Times New Roman;Times;Serif" w:hAnsi="Times New Roman;Times;Serif"/>
          <w:b/>
          <w:i w:val="false"/>
          <w:caps w:val="false"/>
          <w:smallCaps w:val="false"/>
          <w:sz w:val="20"/>
        </w:rPr>
        <w:t>Supernus Tax Counsel</w:t>
      </w:r>
      <w:r>
        <w:rPr>
          <w:rFonts w:ascii="Times New Roman;Times;Serif" w:hAnsi="Times New Roman;Times;Serif"/>
          <w:b w:val="false"/>
          <w:i w:val="false"/>
          <w:caps w:val="false"/>
          <w:smallCaps w:val="false"/>
          <w:sz w:val="20"/>
        </w:rPr>
        <w:t>”) (each such opinion referred to in clauses (i) and (ii), a “</w:t>
      </w:r>
      <w:r>
        <w:rPr>
          <w:rFonts w:ascii="Times New Roman;Times;Serif" w:hAnsi="Times New Roman;Times;Serif"/>
          <w:b/>
          <w:i w:val="false"/>
          <w:caps w:val="false"/>
          <w:smallCaps w:val="false"/>
          <w:sz w:val="20"/>
        </w:rPr>
        <w:t>Merger Tax Opinion</w:t>
      </w:r>
      <w:r>
        <w:rPr>
          <w:rFonts w:ascii="Times New Roman;Times;Serif" w:hAnsi="Times New Roman;Times;Serif"/>
          <w:b w:val="false"/>
          <w:i w:val="false"/>
          <w:caps w:val="false"/>
          <w:smallCaps w:val="false"/>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Times;Serif" w:hAnsi="Times New Roman;Times;Serif"/>
          <w:b/>
          <w:i w:val="false"/>
          <w:caps w:val="false"/>
          <w:smallCaps w:val="false"/>
          <w:sz w:val="20"/>
        </w:rPr>
        <w:t>Merger Tax Representation Letters</w:t>
      </w:r>
      <w:r>
        <w:rPr>
          <w:rFonts w:ascii="Times New Roman;Times;Serif" w:hAnsi="Times New Roman;Times;Serif"/>
          <w:b w:val="false"/>
          <w:i w:val="false"/>
          <w:caps w:val="false"/>
          <w:smallCaps w:val="false"/>
          <w:sz w:val="20"/>
        </w:rPr>
        <w:t>”).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No Control of Other Party’s Business</w:t>
      </w:r>
      <w:r>
        <w:rPr>
          <w:rFonts w:ascii="Times New Roman;Times;Serif" w:hAnsi="Times New Roman;Times;Serif"/>
          <w:b w:val="false"/>
          <w:i w:val="false"/>
          <w:caps w:val="false"/>
          <w:smallCaps w:val="false"/>
          <w:sz w:val="20"/>
        </w:rPr>
        <w:t>.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Special Dividend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Special Dividend</w:t>
      </w:r>
      <w:r>
        <w:rPr>
          <w:rFonts w:ascii="Times New Roman;Times;Serif" w:hAnsi="Times New Roman;Times;Serif"/>
          <w:b w:val="false"/>
          <w:i w:val="false"/>
          <w:caps w:val="false"/>
          <w:smallCaps w:val="false"/>
          <w:sz w:val="20"/>
        </w:rPr>
        <w:t>. Other than in the Alternative Dividend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Times;Serif" w:hAnsi="Times New Roman;Times;Serif"/>
          <w:b/>
          <w:i w:val="false"/>
          <w:caps w:val="false"/>
          <w:smallCaps w:val="false"/>
          <w:sz w:val="20"/>
        </w:rPr>
        <w:t>Special Dividend</w:t>
      </w:r>
      <w:r>
        <w:rPr>
          <w:rFonts w:ascii="Times New Roman;Times;Serif" w:hAnsi="Times New Roman;Times;Serif"/>
          <w:b w:val="false"/>
          <w:i w:val="false"/>
          <w:caps w:val="false"/>
          <w:smallCaps w:val="false"/>
          <w:sz w:val="20"/>
        </w:rPr>
        <w:t>”) which Special Dividend shall be payable to (i) holders of record of the issued and outstanding Indivior Shares as of a record date immediately prior to the Effective Time (such holders, the “</w:t>
      </w:r>
      <w:r>
        <w:rPr>
          <w:rFonts w:ascii="Times New Roman;Times;Serif" w:hAnsi="Times New Roman;Times;Serif"/>
          <w:b/>
          <w:i w:val="false"/>
          <w:caps w:val="false"/>
          <w:smallCaps w:val="false"/>
          <w:sz w:val="20"/>
        </w:rPr>
        <w:t>Special Dividend Record Holders</w:t>
      </w:r>
      <w:r>
        <w:rPr>
          <w:rFonts w:ascii="Times New Roman;Times;Serif" w:hAnsi="Times New Roman;Times;Serif"/>
          <w:b w:val="false"/>
          <w:i w:val="false"/>
          <w:caps w:val="false"/>
          <w:smallCaps w:val="false"/>
          <w:sz w:val="20"/>
        </w:rPr>
        <w:t>” and such date, the “</w:t>
      </w:r>
      <w:r>
        <w:rPr>
          <w:rFonts w:ascii="Times New Roman;Times;Serif" w:hAnsi="Times New Roman;Times;Serif"/>
          <w:b/>
          <w:i w:val="false"/>
          <w:caps w:val="false"/>
          <w:smallCaps w:val="false"/>
          <w:sz w:val="20"/>
        </w:rPr>
        <w:t>Special Dividend Record Date</w:t>
      </w:r>
      <w:r>
        <w:rPr>
          <w:rFonts w:ascii="Times New Roman;Times;Serif" w:hAnsi="Times New Roman;Times;Serif"/>
          <w:b w:val="false"/>
          <w:i w:val="false"/>
          <w:caps w:val="false"/>
          <w:smallCaps w:val="false"/>
          <w:sz w:val="20"/>
        </w:rPr>
        <w:t>”) and (ii) holders of Indivior Equity Awards outstanding as of the Special Dividend Record Date (such holders, the “</w:t>
      </w:r>
      <w:r>
        <w:rPr>
          <w:rFonts w:ascii="Times New Roman;Times;Serif" w:hAnsi="Times New Roman;Times;Serif"/>
          <w:b/>
          <w:i w:val="false"/>
          <w:caps w:val="false"/>
          <w:smallCaps w:val="false"/>
          <w:sz w:val="20"/>
        </w:rPr>
        <w:t>Special Dividend Award Holders</w:t>
      </w:r>
      <w:r>
        <w:rPr>
          <w:rFonts w:ascii="Times New Roman;Times;Serif" w:hAnsi="Times New Roman;Times;Serif"/>
          <w:b w:val="false"/>
          <w:i w:val="false"/>
          <w:caps w:val="false"/>
          <w:smallCaps w:val="false"/>
          <w:sz w:val="20"/>
        </w:rPr>
        <w:t>”),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sz w:val="20"/>
          <w:u w:val="single"/>
        </w:rPr>
        <w:t>Section 6.16(a)</w:t>
      </w:r>
      <w:r>
        <w:rPr>
          <w:rFonts w:ascii="Times New Roman;Times;Serif" w:hAnsi="Times New Roman;Times;Serif"/>
          <w:b w:val="false"/>
          <w:i w:val="false"/>
          <w:caps w:val="false"/>
          <w:smallCaps w:val="false"/>
          <w:sz w:val="20"/>
        </w:rPr>
        <w:t> with respect to the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Times;Serif" w:hAnsi="Times New Roman;Times;Serif"/>
          <w:b w:val="false"/>
          <w:i w:val="false"/>
          <w:caps w:val="false"/>
          <w:smallCaps w:val="false"/>
          <w:sz w:val="20"/>
          <w:u w:val="single"/>
        </w:rPr>
        <w:t>Section 6.16(a)</w:t>
      </w:r>
      <w:r>
        <w:rPr>
          <w:rFonts w:ascii="Times New Roman;Times;Serif" w:hAnsi="Times New Roman;Times;Serif"/>
          <w:b w:val="false"/>
          <w:i w:val="false"/>
          <w:caps w:val="false"/>
          <w:smallCaps w:val="false"/>
          <w:sz w:val="20"/>
        </w:rPr>
        <w:t>,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Alternative Dividend</w:t>
      </w:r>
      <w:r>
        <w:rPr>
          <w:rFonts w:ascii="Times New Roman;Times;Serif" w:hAnsi="Times New Roman;Times;Serif"/>
          <w:b w:val="false"/>
          <w:i w:val="false"/>
          <w:caps w:val="false"/>
          <w:smallCaps w:val="false"/>
          <w:sz w:val="20"/>
        </w:rPr>
        <w:t>. Only in the Alternative Dividend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conditions that may only be satisfied on the Closing Date), prior to the Effective Time and in connection with the Closing, Indivior shall declare a dividend (the “</w:t>
      </w:r>
      <w:r>
        <w:rPr>
          <w:rFonts w:ascii="Times New Roman;Times;Serif" w:hAnsi="Times New Roman;Times;Serif"/>
          <w:b/>
          <w:i w:val="false"/>
          <w:caps w:val="false"/>
          <w:smallCaps w:val="false"/>
          <w:sz w:val="20"/>
        </w:rPr>
        <w:t>Alternative Dividend</w:t>
      </w:r>
      <w:r>
        <w:rPr>
          <w:rFonts w:ascii="Times New Roman;Times;Serif" w:hAnsi="Times New Roman;Times;Serif"/>
          <w:b w:val="false"/>
          <w:i w:val="false"/>
          <w:caps w:val="false"/>
          <w:smallCaps w:val="false"/>
          <w:sz w:val="20"/>
        </w:rPr>
        <w:t>”) consisting of (i) $500,000,000 in the aggregate in cash (the “</w:t>
      </w:r>
      <w:r>
        <w:rPr>
          <w:rFonts w:ascii="Times New Roman;Times;Serif" w:hAnsi="Times New Roman;Times;Serif"/>
          <w:b/>
          <w:i w:val="false"/>
          <w:caps w:val="false"/>
          <w:smallCaps w:val="false"/>
          <w:sz w:val="20"/>
        </w:rPr>
        <w:t>Alternative Closing Cash Dividend</w:t>
      </w:r>
      <w:r>
        <w:rPr>
          <w:rFonts w:ascii="Times New Roman;Times;Serif" w:hAnsi="Times New Roman;Times;Serif"/>
          <w:b w:val="false"/>
          <w:i w:val="false"/>
          <w:caps w:val="false"/>
          <w:smallCaps w:val="false"/>
          <w:sz w:val="20"/>
        </w:rPr>
        <w:t>”) and (ii) rights to receive an aggregate of $529,500,000 in cash (each such dividend payment right, an “</w:t>
      </w:r>
      <w:r>
        <w:rPr>
          <w:rFonts w:ascii="Times New Roman;Times;Serif" w:hAnsi="Times New Roman;Times;Serif"/>
          <w:b/>
          <w:i w:val="false"/>
          <w:caps w:val="false"/>
          <w:smallCaps w:val="false"/>
          <w:sz w:val="20"/>
        </w:rPr>
        <w:t>Alternative Dividend Right</w:t>
      </w:r>
      <w:r>
        <w:rPr>
          <w:rFonts w:ascii="Times New Roman;Times;Serif" w:hAnsi="Times New Roman;Times;Serif"/>
          <w:b w:val="false"/>
          <w:i w:val="false"/>
          <w:caps w:val="false"/>
          <w:smallCaps w:val="false"/>
          <w:sz w:val="20"/>
        </w:rPr>
        <w:t>”), in accordance with the terms and conditions of the Dividend Payment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DPR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sz w:val="20"/>
          <w:u w:val="single"/>
        </w:rPr>
        <w:t>Section 6.16(b)</w:t>
      </w:r>
      <w:r>
        <w:rPr>
          <w:rFonts w:ascii="Times New Roman;Times;Serif" w:hAnsi="Times New Roman;Times;Serif"/>
          <w:b w:val="false"/>
          <w:i w:val="false"/>
          <w:caps w:val="false"/>
          <w:smallCaps w:val="false"/>
          <w:sz w:val="20"/>
        </w:rPr>
        <w:t> with respect to the Alternative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Times;Serif" w:hAnsi="Times New Roman;Times;Serif"/>
          <w:b w:val="false"/>
          <w:i w:val="false"/>
          <w:caps w:val="false"/>
          <w:smallCaps w:val="false"/>
          <w:sz w:val="20"/>
          <w:u w:val="single"/>
        </w:rPr>
        <w:t>Section 6.16(b)</w:t>
      </w:r>
      <w:r>
        <w:rPr>
          <w:rFonts w:ascii="Times New Roman;Times;Serif" w:hAnsi="Times New Roman;Times;Serif"/>
          <w:b w:val="false"/>
          <w:i w:val="false"/>
          <w:caps w:val="false"/>
          <w:smallCaps w:val="false"/>
          <w:sz w:val="20"/>
        </w:rPr>
        <w:t>,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Immediately following the Effective Time, the Combined Company shall cause the DPR Agreement to be duly authorized, executed and delivered by the Combined Company and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Supernus and its Subsidiaries shall obtain customary payoff letters with respect to the Supernus Existing Loan Documents (the payoff of such facilities, together, the “</w:t>
      </w:r>
      <w:r>
        <w:rPr>
          <w:rFonts w:ascii="Times New Roman;Times;Serif" w:hAnsi="Times New Roman;Times;Serif"/>
          <w:b/>
          <w:i w:val="false"/>
          <w:caps w:val="false"/>
          <w:smallCaps w:val="false"/>
          <w:sz w:val="20"/>
        </w:rPr>
        <w:t>Debt Payoff</w:t>
      </w:r>
      <w:r>
        <w:rPr>
          <w:rFonts w:ascii="Times New Roman;Times;Serif" w:hAnsi="Times New Roman;Times;Serif"/>
          <w:b w:val="false"/>
          <w:i w:val="false"/>
          <w:caps w:val="false"/>
          <w:smallCaps w:val="false"/>
          <w:sz w:val="20"/>
        </w:rPr>
        <w:t>”) and deliver drafts of 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Times;Serif" w:hAnsi="Times New Roman;Times;Serif"/>
          <w:b w:val="false"/>
          <w:i w:val="false"/>
          <w:caps w:val="false"/>
          <w:smallCaps w:val="false"/>
          <w:sz w:val="20"/>
          <w:u w:val="single"/>
        </w:rPr>
        <w:t>Section 6.17(f)</w:t>
      </w:r>
      <w:r>
        <w:rPr>
          <w:rFonts w:ascii="Times New Roman;Times;Serif" w:hAnsi="Times New Roman;Times;Serif"/>
          <w:b w:val="false"/>
          <w:i w:val="false"/>
          <w:caps w:val="false"/>
          <w:smallCaps w:val="false"/>
          <w:sz w:val="20"/>
        </w:rPr>
        <w:t>, at the time such Alternative Financing is entered into (the “</w:t>
      </w:r>
      <w:r>
        <w:rPr>
          <w:rFonts w:ascii="Times New Roman;Times;Serif" w:hAnsi="Times New Roman;Times;Serif"/>
          <w:b/>
          <w:i w:val="false"/>
          <w:caps w:val="false"/>
          <w:smallCaps w:val="false"/>
          <w:sz w:val="20"/>
        </w:rPr>
        <w:t>Financing Consent Rights</w:t>
      </w:r>
      <w:r>
        <w:rPr>
          <w:rFonts w:ascii="Times New Roman;Times;Serif" w:hAnsi="Times New Roman;Times;Serif"/>
          <w:b w:val="false"/>
          <w:i w:val="false"/>
          <w:caps w:val="false"/>
          <w:smallCaps w:val="false"/>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Financing Consent Rights, Indivior shall be entitled to negotiate and agree the terms of the Financing on behalf of the parties in accordance with </w:t>
      </w:r>
      <w:r>
        <w:rPr>
          <w:rFonts w:ascii="Times New Roman;Times;Serif" w:hAnsi="Times New Roman;Times;Serif"/>
          <w:b w:val="false"/>
          <w:i w:val="false"/>
          <w:caps w:val="false"/>
          <w:smallCaps w:val="false"/>
          <w:sz w:val="20"/>
          <w:u w:val="single"/>
        </w:rPr>
        <w:t>Section 6.17(b)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Commitment Letter and the Fee Letter are hereby approved by Indivior in all respects with such approval evidenced by Indivior’s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and Supernus shall share all fees, costs and expenses of the Financing in proportion to the Supernus Fee Allocation Percentage and the Indivior Fee Allocation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fees, costs or expenses shall be incurred, and no fee or engagement letter shall be entered into, without the prior written consent of both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for the avoidance of doubt, the Fee Letter is hereby approved by each party hereto in all respects with such approval evidenced by each such parties’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portion of any Financing becomes unavailable, Indivior shall lead, and the parties shall, use their respective reasonable best efforts to arrange and obtain replacement financing (“</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on the same basis as set forth in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(subject to the Financing Consent Rights), and any such Alternative Financing shall constitute a Financing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assist with the preparation of any definitive documentation and the schedules and exhibits thereto contemplated or required by the Financing, and any other customary definitive documents relating to the Financing, including any certificates and schedules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assist with the preparation of customary pro forma financial statements to the extent reasonably requested by any of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Times;Serif" w:hAnsi="Times New Roman;Times;Serif"/>
          <w:b/>
          <w:i w:val="false"/>
          <w:caps w:val="false"/>
          <w:smallCaps w:val="false"/>
          <w:sz w:val="20"/>
        </w:rPr>
        <w:t>Required Financial Information</w:t>
      </w:r>
      <w:r>
        <w:rPr>
          <w:rFonts w:ascii="Times New Roman;Times;Serif" w:hAnsi="Times New Roman;Times;Serif"/>
          <w:b w:val="false"/>
          <w:i w:val="false"/>
          <w:caps w:val="false"/>
          <w:smallCaps w:val="false"/>
          <w:sz w:val="20"/>
        </w:rPr>
        <w:t>”),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Solely in the event that: (i) the Closing has not occurred by the later of (x) the 150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(iii) despite the Parties’ compliance with the provisions of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the Financing is unavailable and no Alternative Financing is available; and (iv)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Times;Serif" w:hAnsi="Times New Roman;Times;Serif"/>
          <w:b/>
          <w:i w:val="false"/>
          <w:caps w:val="false"/>
          <w:smallCaps w:val="false"/>
          <w:sz w:val="20"/>
        </w:rPr>
        <w:t>Alternative Dividend Scenario</w:t>
      </w:r>
      <w:r>
        <w:rPr>
          <w:rFonts w:ascii="Times New Roman;Times;Serif" w:hAnsi="Times New Roman;Times;Serif"/>
          <w:b w:val="false"/>
          <w:i w:val="false"/>
          <w:caps w:val="false"/>
          <w:smallCaps w:val="false"/>
          <w:sz w:val="20"/>
        </w:rPr>
        <w:t>”),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Certain Insurance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Times;Serif" w:hAnsi="Times New Roman;Times;Serif"/>
          <w:b w:val="false"/>
          <w:i w:val="false"/>
          <w:caps w:val="false"/>
          <w:smallCaps w:val="false"/>
          <w:sz w:val="20"/>
          <w:u w:val="single"/>
        </w:rPr>
        <w:t>Section 6.18(b)</w:t>
      </w:r>
      <w:r>
        <w:rPr>
          <w:rFonts w:ascii="Times New Roman;Times;Serif" w:hAnsi="Times New Roman;Times;Serif"/>
          <w:b w:val="false"/>
          <w:i w:val="false"/>
          <w:caps w:val="false"/>
          <w:smallCaps w:val="false"/>
          <w:sz w:val="20"/>
        </w:rPr>
        <w:t xml:space="preserve">, shall not constitute a breach by Indivior of this </w:t>
      </w:r>
      <w:r>
        <w:rPr>
          <w:rFonts w:ascii="Times New Roman;Times;Serif" w:hAnsi="Times New Roman;Times;Serif"/>
          <w:b w:val="false"/>
          <w:i w:val="false"/>
          <w:caps w:val="false"/>
          <w:smallCaps w:val="false"/>
          <w:sz w:val="20"/>
          <w:u w:val="single"/>
        </w:rPr>
        <w:t>Section 6.18(b)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(a) in the event of any conflict with any other covenant or agreement contained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that expressly addresses the subject matter of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govern and control, and (b) this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Resignation of Indivior Directors and Officers</w:t>
      </w:r>
      <w:r>
        <w:rPr>
          <w:rFonts w:ascii="Times New Roman;Times;Serif" w:hAnsi="Times New Roman;Times;Serif"/>
          <w:b w:val="false"/>
          <w:i w:val="false"/>
          <w:caps w:val="false"/>
          <w:smallCaps w:val="false"/>
          <w:sz w:val="20"/>
        </w:rPr>
        <w:t>.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FTC Order Compliance</w:t>
      </w:r>
      <w:r>
        <w:rPr>
          <w:rFonts w:ascii="Times New Roman;Times;Serif" w:hAnsi="Times New Roman;Times;Serif"/>
          <w:b w:val="false"/>
          <w:i w:val="false"/>
          <w:caps w:val="false"/>
          <w:smallCaps w:val="false"/>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Conditions to All Parties’ Obligations</w:t>
      </w:r>
      <w:r>
        <w:rPr>
          <w:rFonts w:ascii="Times New Roman;Times;Serif" w:hAnsi="Times New Roman;Times;Serif"/>
          <w:b w:val="false"/>
          <w:i w:val="false"/>
          <w:caps w:val="false"/>
          <w:smallCaps w:val="false"/>
          <w:sz w:val="20"/>
        </w:rPr>
        <w:t>. The obligations of Indivior and Supernus to consummate the transactions contemplated by this Agreement are subject to the satisfaction (or waiver by Indivior and Supernus),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Indivior Stockholder Approval shall have been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Supernus Stockholder Approval shall have been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Registration Statement shall have become effective under the Securities Act and shall remain in effect, and shall not be the subject of any stop order or any Action by the SEC seeking a stop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waiting period (and any extension thereof) applicable to the transactions contemplated by this Agreement under the HSR Act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Indivior Shares issuable in connection with the Merger shall have been approved for listing on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Conditions to Indivior’s and Merger Sub’s Obligations</w:t>
      </w:r>
      <w:r>
        <w:rPr>
          <w:rFonts w:ascii="Times New Roman;Times;Serif" w:hAnsi="Times New Roman;Times;Serif"/>
          <w:b w:val="false"/>
          <w:i w:val="false"/>
          <w:caps w:val="false"/>
          <w:smallCaps w:val="false"/>
          <w:sz w:val="20"/>
        </w:rPr>
        <w:t>. The obligations of Indivior and Merger Sub to consummate the transactions contemplated by this Agreement are subject to the satisfaction (or waiver by Indivior),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representations and warranties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Organization and Corporate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Authorization; Valid and Binding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(solely with respect to the first two sentences of clause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(solely with respect to clause (a)) (</w:t>
      </w:r>
      <w:r>
        <w:rPr>
          <w:rFonts w:ascii="Times New Roman;Times;Serif" w:hAnsi="Times New Roman;Times;Serif"/>
          <w:b w:val="false"/>
          <w:i/>
          <w:caps w:val="false"/>
          <w:smallCaps w:val="false"/>
          <w:sz w:val="20"/>
        </w:rPr>
        <w:t>No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Brokerage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Board Approval; Vote Required</w:t>
      </w:r>
      <w:r>
        <w:rPr>
          <w:rFonts w:ascii="Times New Roman;Times;Serif" w:hAnsi="Times New Roman;Times;Serif"/>
          <w:b w:val="false"/>
          <w:i w:val="false"/>
          <w:caps w:val="false"/>
          <w:smallCaps w:val="false"/>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(solely with respect to clauses (a), (b) and the last sentence of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nature, (iii) the representations and warranties contained in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Developments</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Supernus shall have performed in all material respects all of the covenants and agreements under this Agreement that are required to be performed by it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been or occurred any Supernus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Supernus shall have delivered to Indivior a certificate of Supernus executed by a duly authorized officer thereof, dated as of the Closing Date, stating that the conditions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Conditions to Supernus’ Obligations</w:t>
      </w:r>
      <w:r>
        <w:rPr>
          <w:rFonts w:ascii="Times New Roman;Times;Serif" w:hAnsi="Times New Roman;Times;Serif"/>
          <w:b w:val="false"/>
          <w:i w:val="false"/>
          <w:caps w:val="false"/>
          <w:smallCaps w:val="false"/>
          <w:sz w:val="20"/>
        </w:rPr>
        <w:t>. The obligations of Supernus to consummate the transactions contemplated by this Agreement are subject to the satisfaction (or waiver by Supernus),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representations and warranties contained in </w:t>
      </w:r>
      <w:r>
        <w:rPr>
          <w:rFonts w:ascii="Times New Roman;Times;Serif" w:hAnsi="Times New Roman;Times;Serif"/>
          <w:b w:val="false"/>
          <w:i w:val="false"/>
          <w:caps w:val="false"/>
          <w:smallCaps w:val="false"/>
          <w:sz w:val="20"/>
          <w:u w:val="single"/>
        </w:rPr>
        <w:t>Section 4.1(a)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Organization and Corporate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Authorization; Valid and Binding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(solely with respect to the first two sentences of clause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(solely with respect to clause (a)) (</w:t>
      </w:r>
      <w:r>
        <w:rPr>
          <w:rFonts w:ascii="Times New Roman;Times;Serif" w:hAnsi="Times New Roman;Times;Serif"/>
          <w:b w:val="false"/>
          <w:i/>
          <w:caps w:val="false"/>
          <w:smallCaps w:val="false"/>
          <w:sz w:val="20"/>
        </w:rPr>
        <w:t>No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Brokerage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4.27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Board Approval; Vote Required</w:t>
      </w:r>
      <w:r>
        <w:rPr>
          <w:rFonts w:ascii="Times New Roman;Times;Serif" w:hAnsi="Times New Roman;Times;Serif"/>
          <w:b w:val="false"/>
          <w:i w:val="false"/>
          <w:caps w:val="false"/>
          <w:smallCaps w:val="false"/>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(solely with respect to clauses (a), (b) and the last sentence of (c))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nature, (iii) the representations and warranties contained in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Developments</w:t>
      </w:r>
      <w:r>
        <w:rPr>
          <w:rFonts w:ascii="Times New Roman;Times;Serif" w:hAnsi="Times New Roman;Times;Serif"/>
          <w:b w:val="false"/>
          <w:i w:val="false"/>
          <w:caps w:val="false"/>
          <w:smallCaps w:val="false"/>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Indivior and Merger Sub shall have performed in all material respects all of its respective covenants and agreements under this Agreement that are required to be performed by it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been or occurred any Indivior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Indivior shall have delivered to Supernus a certificate of Indivior executed by a duly authorized officer thereof, dated as of the Closing Date, stating that the conditions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hereby, including the Merger, may be abandoned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Indivior and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Indivior,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Indivior shall not have the right to terminate this Agreement pursuant to this </w:t>
      </w:r>
      <w:r>
        <w:rPr>
          <w:rFonts w:ascii="Times New Roman;Times;Serif" w:hAnsi="Times New Roman;Times;Serif"/>
          <w:b w:val="false"/>
          <w:i w:val="false"/>
          <w:caps w:val="false"/>
          <w:smallCaps w:val="false"/>
          <w:sz w:val="20"/>
          <w:u w:val="single"/>
        </w:rPr>
        <w:t>Section 8.1(b)(i)</w:t>
      </w:r>
      <w:r>
        <w:rPr>
          <w:rFonts w:ascii="Times New Roman;Times;Serif" w:hAnsi="Times New Roman;Times;Serif"/>
          <w:b w:val="false"/>
          <w:i w:val="false"/>
          <w:caps w:val="false"/>
          <w:smallCaps w:val="false"/>
          <w:sz w:val="20"/>
        </w:rPr>
        <w:t> if any of Indivior or Merger Sub is then in material breach of any covenant, obligation, representation or warranty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Times;Serif" w:hAnsi="Times New Roman;Times;Serif"/>
          <w:b w:val="false"/>
          <w:i w:val="false"/>
          <w:caps w:val="false"/>
          <w:smallCaps w:val="false"/>
          <w:sz w:val="20"/>
          <w:u w:val="single"/>
        </w:rPr>
        <w:t>Section 8.1(b)(ii)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prior to or concurrently with the termination of this Agreement, Indivior pays to Supernus in immediately available funds any fees required to be paid pursuant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Supernus,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Supernus shall not have the right to terminate this Agreement pursuant to this </w:t>
      </w:r>
      <w:r>
        <w:rPr>
          <w:rFonts w:ascii="Times New Roman;Times;Serif" w:hAnsi="Times New Roman;Times;Serif"/>
          <w:b w:val="false"/>
          <w:i w:val="false"/>
          <w:caps w:val="false"/>
          <w:smallCaps w:val="false"/>
          <w:sz w:val="20"/>
          <w:u w:val="single"/>
        </w:rPr>
        <w:t>Section 8.1(c)(i)</w:t>
      </w:r>
      <w:r>
        <w:rPr>
          <w:rFonts w:ascii="Times New Roman;Times;Serif" w:hAnsi="Times New Roman;Times;Serif"/>
          <w:b w:val="false"/>
          <w:i w:val="false"/>
          <w:caps w:val="false"/>
          <w:smallCaps w:val="false"/>
          <w:sz w:val="20"/>
        </w:rPr>
        <w:t> if Supernus is then in material breach of any covenant, obligation, representation or warranty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Times;Serif" w:hAnsi="Times New Roman;Times;Serif"/>
          <w:b w:val="false"/>
          <w:i w:val="false"/>
          <w:caps w:val="false"/>
          <w:smallCaps w:val="false"/>
          <w:sz w:val="20"/>
          <w:u w:val="single"/>
        </w:rPr>
        <w:t>Section 8.1(c)(ii)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prior to or concurrently with the termination of this Agreement, Supernus pays to Indivior in immediately available funds any fees required to be paid pursuant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Indivior or Supernus,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shall have been denied and such denial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w:t>
      </w:r>
      <w:r>
        <w:rPr>
          <w:rFonts w:ascii="Times New Roman;Times;Serif" w:hAnsi="Times New Roman;Times;Serif"/>
          <w:b w:val="false"/>
          <w:i w:val="false"/>
          <w:caps w:val="false"/>
          <w:smallCaps w:val="false"/>
          <w:sz w:val="20"/>
        </w:rPr>
        <w:t xml:space="preserve"> shall not be available to any party if a material breach by such party of its obligations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any other provision of this Agreement has been a principal cause of, or principally resulted in, such Order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Merger contemplated hereby has not been consummated by the date that is six (6) months following the date of this Agreement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if the Merger shall not have been consummated by the Termination Date but on that date the condition set forth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Antitrust Approval</w:t>
      </w:r>
      <w:r>
        <w:rPr>
          <w:rFonts w:ascii="Times New Roman;Times;Serif" w:hAnsi="Times New Roman;Times;Serif"/>
          <w:b w:val="false"/>
          <w:i w:val="false"/>
          <w:caps w:val="false"/>
          <w:smallCaps w:val="false"/>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Antitrust Approval</w:t>
      </w:r>
      <w:r>
        <w:rPr>
          <w:rFonts w:ascii="Times New Roman;Times;Serif" w:hAnsi="Times New Roman;Times;Serif"/>
          <w:b w:val="false"/>
          <w:i w:val="false"/>
          <w:caps w:val="false"/>
          <w:smallCaps w:val="false"/>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shall not be available to any party if a material breach by such party of its obligations under any provision of this Agreement has been the principal cause of, or principally resulted in, the failure of the Merger to be consummated by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shall not be available to Supernus if a material breach by Supernus of its obligations under any provision of this Agreement has been the principal cause of, or principally resulted in, the failure to obtain the Supernus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8.1(d)(iv)</w:t>
      </w:r>
      <w:r>
        <w:rPr>
          <w:rFonts w:ascii="Times New Roman;Times;Serif" w:hAnsi="Times New Roman;Times;Serif"/>
          <w:b w:val="false"/>
          <w:i w:val="false"/>
          <w:caps w:val="false"/>
          <w:smallCaps w:val="false"/>
          <w:sz w:val="20"/>
        </w:rPr>
        <w:t> shall not be available to Indivior if a material breach by Indivior of its obligations under any provision of this Agreement has been the principal cause of, or principally resulted in, the failure to obtain the Indivior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 this Agreement shall be of no further force or effect;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(i) this Agreement is terminated by Supernus pursuant to </w:t>
      </w:r>
      <w:r>
        <w:rPr>
          <w:rFonts w:ascii="Times New Roman;Times;Serif" w:hAnsi="Times New Roman;Times;Serif"/>
          <w:b w:val="false"/>
          <w:i w:val="false"/>
          <w:caps w:val="false"/>
          <w:smallCaps w:val="false"/>
          <w:sz w:val="20"/>
          <w:u w:val="single"/>
        </w:rPr>
        <w:t>Section 8.1(c)(ii)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Adverse Recommendation Change</w:t>
      </w:r>
      <w:r>
        <w:rPr>
          <w:rFonts w:ascii="Times New Roman;Times;Serif" w:hAnsi="Times New Roman;Times;Serif"/>
          <w:b w:val="false"/>
          <w:i w:val="false"/>
          <w:caps w:val="false"/>
          <w:smallCaps w:val="false"/>
          <w:sz w:val="20"/>
        </w:rPr>
        <w:t xml:space="preserve">) or (ii) this Agreement is terminated by Indivior pursuant to </w:t>
      </w:r>
      <w:r>
        <w:rPr>
          <w:rFonts w:ascii="Times New Roman;Times;Serif" w:hAnsi="Times New Roman;Times;Serif"/>
          <w:b w:val="false"/>
          <w:i w:val="false"/>
          <w:caps w:val="false"/>
          <w:smallCaps w:val="false"/>
          <w:sz w:val="20"/>
          <w:u w:val="single"/>
        </w:rPr>
        <w:t>Section 8.1(b)(iii)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Superior Proposal</w:t>
      </w:r>
      <w:r>
        <w:rPr>
          <w:rFonts w:ascii="Times New Roman;Times;Serif" w:hAnsi="Times New Roman;Times;Serif"/>
          <w:b w:val="false"/>
          <w:i w:val="false"/>
          <w:caps w:val="false"/>
          <w:smallCaps w:val="false"/>
          <w:sz w:val="20"/>
        </w:rPr>
        <w:t>),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(i) this Agreement is terminated by Indivior pursuant to </w:t>
      </w:r>
      <w:r>
        <w:rPr>
          <w:rFonts w:ascii="Times New Roman;Times;Serif" w:hAnsi="Times New Roman;Times;Serif"/>
          <w:b w:val="false"/>
          <w:i w:val="false"/>
          <w:caps w:val="false"/>
          <w:smallCaps w:val="false"/>
          <w:sz w:val="20"/>
          <w:u w:val="single"/>
        </w:rPr>
        <w:t>Section 8.1(b)(ii)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Supernus Adverse Recommendation Change</w:t>
      </w:r>
      <w:r>
        <w:rPr>
          <w:rFonts w:ascii="Times New Roman;Times;Serif" w:hAnsi="Times New Roman;Times;Serif"/>
          <w:b w:val="false"/>
          <w:i w:val="false"/>
          <w:caps w:val="false"/>
          <w:smallCaps w:val="false"/>
          <w:sz w:val="20"/>
        </w:rPr>
        <w:t xml:space="preserve">) or (ii) this Agreement is terminated by Supernus pursuant to </w:t>
      </w:r>
      <w:r>
        <w:rPr>
          <w:rFonts w:ascii="Times New Roman;Times;Serif" w:hAnsi="Times New Roman;Times;Serif"/>
          <w:b w:val="false"/>
          <w:i w:val="false"/>
          <w:caps w:val="false"/>
          <w:smallCaps w:val="false"/>
          <w:sz w:val="20"/>
          <w:u w:val="single"/>
        </w:rPr>
        <w:t>Section 8.1(c)(iii)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Superior Proposal</w:t>
      </w:r>
      <w:r>
        <w:rPr>
          <w:rFonts w:ascii="Times New Roman;Times;Serif" w:hAnsi="Times New Roman;Times;Serif"/>
          <w:b w:val="false"/>
          <w:i w:val="false"/>
          <w:caps w:val="false"/>
          <w:smallCaps w:val="false"/>
          <w:sz w:val="20"/>
        </w:rPr>
        <w:t>),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Times;Serif" w:hAnsi="Times New Roman;Times;Serif"/>
          <w:b w:val="false"/>
          <w:i w:val="false"/>
          <w:caps w:val="false"/>
          <w:smallCaps w:val="false"/>
          <w:sz w:val="20"/>
          <w:u w:val="single"/>
        </w:rPr>
        <w:t>Section 8.1(c)(i)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Breach</w:t>
      </w:r>
      <w:r>
        <w:rPr>
          <w:rFonts w:ascii="Times New Roman;Times;Serif" w:hAnsi="Times New Roman;Times;Serif"/>
          <w:b w:val="false"/>
          <w:i w:val="false"/>
          <w:caps w:val="false"/>
          <w:smallCaps w:val="false"/>
          <w:sz w:val="20"/>
        </w:rPr>
        <w:t xml:space="preserve">) or by Indivior or Supernus pursuant to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8.1(d)(iv)</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Indivior Stockholder Approval</w:t>
      </w:r>
      <w:r>
        <w:rPr>
          <w:rFonts w:ascii="Times New Roman;Times;Serif" w:hAnsi="Times New Roman;Times;Serif"/>
          <w:b w:val="false"/>
          <w:i w:val="false"/>
          <w:caps w:val="false"/>
          <w:smallCaps w:val="false"/>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then Indivior shall pay to Supernus the Indivior Termination Fee concurrently with the consummation of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Times;Serif" w:hAnsi="Times New Roman;Times;Serif"/>
          <w:b w:val="false"/>
          <w:i w:val="false"/>
          <w:caps w:val="false"/>
          <w:smallCaps w:val="false"/>
          <w:sz w:val="20"/>
          <w:u w:val="single"/>
        </w:rPr>
        <w:t>Section 8.1(b)(i) (</w:t>
      </w:r>
      <w:r>
        <w:rPr>
          <w:rFonts w:ascii="Times New Roman;Times;Serif" w:hAnsi="Times New Roman;Times;Serif"/>
          <w:b w:val="false"/>
          <w:i/>
          <w:caps w:val="false"/>
          <w:smallCaps w:val="false"/>
          <w:sz w:val="20"/>
          <w:u w:val="single"/>
        </w:rPr>
        <w:t>Supernus Breach</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or by Indivior or Supernus pursuant to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Supernus Stockholder Approval</w:t>
      </w:r>
      <w:r>
        <w:rPr>
          <w:rFonts w:ascii="Times New Roman;Times;Serif" w:hAnsi="Times New Roman;Times;Serif"/>
          <w:b w:val="false"/>
          <w:i w:val="false"/>
          <w:caps w:val="false"/>
          <w:smallCaps w:val="false"/>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xml:space="preserve">” for all purposes under this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then Supernus shall pay to Indivior the Supernus Termination Fee concurrently with the consummation of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used in this Agreement, “</w:t>
      </w:r>
      <w:r>
        <w:rPr>
          <w:rFonts w:ascii="Times New Roman;Times;Serif" w:hAnsi="Times New Roman;Times;Serif"/>
          <w:b/>
          <w:i w:val="false"/>
          <w:caps w:val="false"/>
          <w:smallCaps w:val="false"/>
          <w:sz w:val="20"/>
        </w:rPr>
        <w:t>Indivior Termination Fee</w:t>
      </w:r>
      <w:r>
        <w:rPr>
          <w:rFonts w:ascii="Times New Roman;Times;Serif" w:hAnsi="Times New Roman;Times;Serif"/>
          <w:b w:val="false"/>
          <w:i w:val="false"/>
          <w:caps w:val="false"/>
          <w:smallCaps w:val="false"/>
          <w:sz w:val="20"/>
        </w:rPr>
        <w:t>” shall mean $174.0 million and “</w:t>
      </w:r>
      <w:r>
        <w:rPr>
          <w:rFonts w:ascii="Times New Roman;Times;Serif" w:hAnsi="Times New Roman;Times;Serif"/>
          <w:b/>
          <w:i w:val="false"/>
          <w:caps w:val="false"/>
          <w:smallCaps w:val="false"/>
          <w:sz w:val="20"/>
        </w:rPr>
        <w:t>Supernus Termination Fee</w:t>
      </w:r>
      <w:r>
        <w:rPr>
          <w:rFonts w:ascii="Times New Roman;Times;Serif" w:hAnsi="Times New Roman;Times;Serif"/>
          <w:b w:val="false"/>
          <w:i w:val="false"/>
          <w:caps w:val="false"/>
          <w:smallCaps w:val="false"/>
          <w:sz w:val="20"/>
        </w:rPr>
        <w:t>” shall mean $101.0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parties acknowledge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(such party, the “</w:t>
      </w:r>
      <w:r>
        <w:rPr>
          <w:rFonts w:ascii="Times New Roman;Times;Serif" w:hAnsi="Times New Roman;Times;Serif"/>
          <w:b/>
          <w:i w:val="false"/>
          <w:caps w:val="false"/>
          <w:smallCaps w:val="false"/>
          <w:sz w:val="20"/>
        </w:rPr>
        <w:t>Defaulting Party</w:t>
      </w:r>
      <w:r>
        <w:rPr>
          <w:rFonts w:ascii="Times New Roman;Times;Serif" w:hAnsi="Times New Roman;Times;Serif"/>
          <w:b w:val="false"/>
          <w:i w:val="false"/>
          <w:caps w:val="false"/>
          <w:smallCaps w:val="false"/>
          <w:sz w:val="20"/>
        </w:rPr>
        <w:t>”), and, in order to obtain such payment, the other party (the “</w:t>
      </w:r>
      <w:r>
        <w:rPr>
          <w:rFonts w:ascii="Times New Roman;Times;Serif" w:hAnsi="Times New Roman;Times;Serif"/>
          <w:b/>
          <w:i w:val="false"/>
          <w:caps w:val="false"/>
          <w:smallCaps w:val="false"/>
          <w:sz w:val="20"/>
        </w:rPr>
        <w:t>Non-Defaulting Party</w:t>
      </w:r>
      <w:r>
        <w:rPr>
          <w:rFonts w:ascii="Times New Roman;Times;Serif" w:hAnsi="Times New Roman;Times;Serif"/>
          <w:b w:val="false"/>
          <w:i w:val="false"/>
          <w:caps w:val="false"/>
          <w:smallCaps w:val="false"/>
          <w:sz w:val="20"/>
        </w:rPr>
        <w:t xml:space="preserve">”) commences a suit which results in a judgment against the Defaulting Party for any payments set forth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 Defaulting Party shall pay to the Non-Defaulting Party its costs and expenses (including attorneys’ fees) in connection with such suit, together with interest on the Indivior Termination Fee or the Supernus Termination Fee, as applicable, from the date payment was required to be made until the date of such payment at the prime rate published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in effect on the date such payment was required to be made. If this Agreement is terminated pursuant to a provision that calls for a payment to be made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the specific performance remedies set forth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that the appropriate, exclusive and convenient forum (the “</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IRREVOCABLY WAIVES ANY AND ALL RIGHT TO TRIAL BY JURY IN ANY LEGAL PROCEEDING ARISING OUT OF OR RELATING TO THIS AGREEMENT OR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such rights, interests or obligations without such consent shall be void and of no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parties hereto may assign (or designate) any or all of its rights or obligations hereunder for collateral security purposes to an administrative agent for the Lenders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for following the Effective Time, the right of the Indemnified Parties to enforce the provisions of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only and the right of current or former directors or officers of Indivior to enforce the provisions of </w:t>
      </w:r>
      <w:r>
        <w:rPr>
          <w:rFonts w:ascii="Times New Roman;Times;Serif" w:hAnsi="Times New Roman;Times;Serif"/>
          <w:b w:val="false"/>
          <w:i w:val="false"/>
          <w:caps w:val="false"/>
          <w:smallCaps w:val="false"/>
          <w:sz w:val="20"/>
          <w:u w:val="single"/>
        </w:rPr>
        <w:t>Section 6.18(a)</w:t>
      </w:r>
      <w:r>
        <w:rPr>
          <w:rFonts w:ascii="Times New Roman;Times;Serif" w:hAnsi="Times New Roman;Times;Serif"/>
          <w:b w:val="false"/>
          <w:i w:val="false"/>
          <w:caps w:val="false"/>
          <w:smallCaps w:val="false"/>
          <w:sz w:val="20"/>
        </w:rPr>
        <w:t>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 or Merger Sub prior to the 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Email: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br/>
        <w:t>1800 M Street NW</w:t>
        <w:br/>
        <w:t>Suite 1000N</w:t>
        <w:br/>
        <w:t>Washington, DC 20036</w:t>
        <w:br/>
        <w:t>Attention:</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Times;Serif" w:hAnsi="Times New Roman;Times;Serif"/>
          <w:b w:val="false"/>
          <w:i w:val="false"/>
          <w:caps w:val="false"/>
          <w:smallCaps w:val="false"/>
          <w:sz w:val="20"/>
          <w:u w:val="single"/>
        </w:rPr>
        <w:t>Section 9.6(b)</w:t>
      </w:r>
      <w:r>
        <w:rPr>
          <w:rFonts w:ascii="Times New Roman;Times;Serif" w:hAnsi="Times New Roman;Times;Serif"/>
          <w:b w:val="false"/>
          <w:i w:val="false"/>
          <w:caps w:val="false"/>
          <w:smallCaps w:val="false"/>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neither Supernus nor Indivior would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Notwithstanding anything herein to the contrary, Supernus, Indivior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irrevocably waive, to the fullest extent that it may effectively do so, the defense of an inconvenient forum to the maintenance of such Action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KNOWINGLY, INTENTIONALLY AND VOLUNTARILY WAIVE TO THE FULLEST EXTENT PERMITTED BY APPLICABLE LAW TRIAL BY JURY IN ANY ACTION, SUIT OR PROCEEDING BROUGHT AGAINST THE DEBT FINANCING SOURCES IN ANY WAY ARISING OUT OF OR RELATING TO THIS AGREEMENT, THE FINANCING, THE COMMITMENT LETTER, ANY DEFINITIVE DOCUMENT RELATING TO THE FINANCING OR ANY OF THE TRANSACTIONS CONTEMPLATED HEREBY OR THEREBY OR THE PERFORMANCE OF ANY SERVICES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agree that (and each other party hereto agrees that) the Financing Sources are express third-party beneficiaries of, and may enforce any of the provisions of this Section 9.13;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shall, with respect to the matters referenced herein, supersede any provision herein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475"/>
        <w:gridCol w:w="3114"/>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Supernus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Supernus pharmaceuticals, inc.</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Jack A. Khattar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Jack A. Khattar</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26"/>
        <w:gridCol w:w="2863"/>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Indivior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MERGER SUB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Preblick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VOTING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WITNESSETH:</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Indivior Share Issuance, and (B) each of the transactions contemplated by the Merger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Indivior Share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that are at any time or from time to time presented for consideration to the Supernus Stockholders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Supernus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Indivior.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Reliance by Supernus</w:t>
      </w:r>
      <w:r>
        <w:rPr>
          <w:rFonts w:ascii="Times New Roman;Times;Serif" w:hAnsi="Times New Roman;Times;Serif"/>
          <w:b w:val="false"/>
          <w:i w:val="false"/>
          <w:caps w:val="false"/>
          <w:smallCaps w:val="false"/>
          <w:sz w:val="20"/>
        </w:rPr>
        <w:t>. The Stockholder understands and acknowledges that Supernus is entering into the Merger Agreement in reliance upon the Stockholder’s execution and delivery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Supernus</w:t>
      </w:r>
      <w:r>
        <w:rPr>
          <w:rFonts w:ascii="Times New Roman;Times;Serif" w:hAnsi="Times New Roman;Times;Serif"/>
          <w:b w:val="false"/>
          <w:i w:val="false"/>
          <w:caps w:val="false"/>
          <w:smallCaps w:val="false"/>
          <w:sz w:val="20"/>
        </w:rPr>
        <w:t>. Supernus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 xml:space="preserve">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772"/>
        <w:gridCol w:w="2772"/>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A. Khattar</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Indivior Voting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both"/>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r>
              <w:rPr/>
              <w:t>[Name]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Schedule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Indivior Shares, Indivior PSUs, Indivior RSUs and Indivior ESPP Purchase Rights</w:t>
      </w:r>
    </w:p>
    <w:p>
      <w:pPr>
        <w:pStyle w:val="TextBody"/>
        <w:bidi w:val="0"/>
        <w:spacing w:before="0" w:after="0"/>
        <w:ind w:left="0" w:right="0" w:hanging="0"/>
        <w:jc w:val="center"/>
        <w:rPr>
          <w:smallCaps/>
        </w:rPr>
      </w:pPr>
      <w:r>
        <w:rPr>
          <w:smallCaps/>
        </w:rPr>
        <w:t> </w:t>
      </w:r>
    </w:p>
    <w:tbl>
      <w:tblPr>
        <w:tblW w:w="8610" w:type="dxa"/>
        <w:jc w:val="left"/>
        <w:tblInd w:w="-10" w:type="dxa"/>
        <w:tblLayout w:type="fixed"/>
        <w:tblCellMar>
          <w:top w:w="40" w:type="dxa"/>
          <w:left w:w="28" w:type="dxa"/>
          <w:bottom w:w="40" w:type="dxa"/>
          <w:right w:w="28" w:type="dxa"/>
        </w:tblCellMar>
      </w:tblPr>
      <w:tblGrid>
        <w:gridCol w:w="1055"/>
        <w:gridCol w:w="1340"/>
        <w:gridCol w:w="1700"/>
        <w:gridCol w:w="1700"/>
        <w:gridCol w:w="1700"/>
        <w:gridCol w:w="111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Stockholder</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PSUs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RSUs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ESPP Purchase</w:t>
              <w:br/>
              <w:t>Rights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Total 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Supernus Pharmaceuticals, Inc., a Delaware corporation (the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the Merger, (B) the adoption and approval of the Merger Agreement and the terms thereof, and (C) each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above, that are at any time or from time to time presented for consideration to the Supernus Stockholders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Reliance by Indivior</w:t>
      </w:r>
      <w:r>
        <w:rPr>
          <w:rFonts w:ascii="Times New Roman;Times;Serif" w:hAnsi="Times New Roman;Times;Serif"/>
          <w:b w:val="false"/>
          <w:i w:val="false"/>
          <w:caps w:val="false"/>
          <w:smallCaps w:val="false"/>
          <w:sz w:val="20"/>
        </w:rPr>
        <w:t>. The Stockholder understands and acknowledges that Indivior is entering into the Merger Agreement in reliance upon the Stockholder’s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Indivior</w:t>
      </w:r>
      <w:r>
        <w:rPr>
          <w:rFonts w:ascii="Times New Roman;Times;Serif" w:hAnsi="Times New Roman;Times;Serif"/>
          <w:b w:val="false"/>
          <w:i w:val="false"/>
          <w:caps w:val="false"/>
          <w:smallCaps w:val="false"/>
          <w:sz w:val="20"/>
        </w:rPr>
        <w:t>. Indivior hereby represents and warrants to the Stockholder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Issa’s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Email: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72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65"/>
        <w:gridCol w:w="282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Supernus Shares, Supernus Options, Supernus RSUs, Supernus PSUs and Supernus ESPP Purchase Rights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10" w:type="dxa"/>
        <w:tblLayout w:type="fixed"/>
        <w:tblCellMar>
          <w:top w:w="28" w:type="dxa"/>
          <w:left w:w="28" w:type="dxa"/>
          <w:bottom w:w="28" w:type="dxa"/>
          <w:right w:w="28" w:type="dxa"/>
        </w:tblCellMar>
      </w:tblPr>
      <w:tblGrid>
        <w:gridCol w:w="1055"/>
        <w:gridCol w:w="845"/>
        <w:gridCol w:w="950"/>
        <w:gridCol w:w="995"/>
        <w:gridCol w:w="995"/>
        <w:gridCol w:w="995"/>
        <w:gridCol w:w="60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Shares</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underlying</w:t>
              <w:br/>
              <w:t>Supernus</w:t>
              <w:br/>
              <w:t>Options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Supernus</w:t>
              <w:br/>
              <w:t>Shares</w:t>
              <w:br/>
              <w:t xml:space="preserve">underlying </w:t>
              <w:br/>
              <w:t xml:space="preserve">Supernus </w:t>
              <w:br/>
              <w:t>RSUs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Supernus</w:t>
              <w:br/>
              <w:t>PSUs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 xml:space="preserve">Supernus </w:t>
              <w:br/>
              <w:t xml:space="preserve">ESPP </w:t>
              <w:br/>
              <w:t>Purchase</w:t>
              <w:br/>
              <w:t>Rights</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Dividend Payment Rights </w:t>
      </w: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COMPUTERSHARE TRUST COMPANY, N.A., as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8105"/>
        <w:gridCol w:w="456"/>
      </w:tblGrid>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1 DEFINITIONS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2 DIVIDEND PAYMENT RIGHTS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DPRs; Appointment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Non-transferable</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Certificate; Registration; Registration of Transfer; Change of Address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Procedures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Voting, Dividends or Interest; No Equity or Ownership Interest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Abandon DPR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3 THE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Duties and Responsibilities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4 COVENANTS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5 AMENDMENTS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Without Consent of Holders or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with Consent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Amendments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6 CONSOLIDATION, MERGER, SALE OR CONVEYANCE</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Consolidate, Etc</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Substituted</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974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7 MISCELLANEOUS</w:t>
            </w:r>
          </w:p>
        </w:tc>
        <w:tc>
          <w:tcPr>
            <w:tcW w:w="456"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14</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810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Rights Agent and to the Company</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or Consolidation or Change of Name of Rights Agent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Agreement; Action by Majority of Holders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8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 Clause</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Effectiveness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automatically terminate and be of no further force or effect and, except as provided in Section 3.2, the parties hereto will have no further liability hereunder upon the expiration of the DPR Period.</w:t>
            </w:r>
          </w:p>
        </w:tc>
        <w:tc>
          <w:tcPr>
            <w:tcW w:w="456" w:type="dxa"/>
            <w:tcBorders/>
            <w:vAlign w:val="center"/>
          </w:tcPr>
          <w:p>
            <w:pPr>
              <w:pStyle w:val="TableContents"/>
              <w:bidi w:val="0"/>
              <w:spacing w:before="0" w:after="283"/>
              <w:jc w:val="right"/>
              <w:rPr>
                <w:sz w:val="20"/>
              </w:rPr>
            </w:pPr>
            <w:r>
              <w:rPr>
                <w:sz w:val="20"/>
              </w:rPr>
              <w:t>17</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Dividend Payment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DIVIDEND PAYMENT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entered into by and between Indivior Pharmaceuticals,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Computershare Trust Company, N.A., a [●] (“</w:t>
      </w:r>
      <w:r>
        <w:rPr>
          <w:rFonts w:ascii="Times New Roman;Times;Serif" w:hAnsi="Times New Roman;Times;Serif"/>
          <w:b/>
          <w:i w:val="false"/>
          <w:caps w:val="false"/>
          <w:smallCaps w:val="false"/>
          <w:sz w:val="20"/>
        </w:rPr>
        <w:t>Computershare</w:t>
      </w:r>
      <w:r>
        <w:rPr>
          <w:rFonts w:ascii="Times New Roman;Times;Serif" w:hAnsi="Times New Roman;Times;Serif"/>
          <w:b w:val="false"/>
          <w:i w:val="false"/>
          <w:caps w:val="false"/>
          <w:smallCaps w:val="false"/>
          <w:sz w:val="20"/>
        </w:rPr>
        <w:t>”), as initial Rights Agent (as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PREAMBLE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Artemis Merger Sub Inc., a Delaware corporation and wholly owned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have entered into an Agreement and Plan of Merger, dated as of August 1,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surviving the Merger as a wholly owned subsidiary of the Company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done all things necessary to make the dividend payment rights, when issued hereunder, the valid obligations of the Company and to make this Agreement a valid and binding agreement of the Company, in accordance with its terms;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ascribed thereto in the Merger Agreement. The following terms have the meanings ascribed to them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a Sunday or a day on which banks are closed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$0.001 par value,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w:t>
      </w:r>
      <w:r>
        <w:rPr>
          <w:rFonts w:ascii="Times New Roman;Times;Serif" w:hAnsi="Times New Roman;Times;Serif"/>
          <w:b w:val="false"/>
          <w:i w:val="false"/>
          <w:caps w:val="false"/>
          <w:smallCaps w:val="false"/>
          <w:sz w:val="20"/>
        </w:rPr>
        <w:t>” means a contingent contractual right of Holders to receive the DPR Payment under the Merger Agreement and this Agreement in the event of the Alternative Dividend Scenario.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Payment</w:t>
      </w:r>
      <w:r>
        <w:rPr>
          <w:rFonts w:ascii="Times New Roman;Times;Serif" w:hAnsi="Times New Roman;Times;Serif"/>
          <w:b w:val="false"/>
          <w:i w:val="false"/>
          <w:caps w:val="false"/>
          <w:smallCaps w:val="false"/>
          <w:sz w:val="20"/>
        </w:rPr>
        <w:t>” means, in the event of the Alternative Dividend Scenario, $529,500,000.00.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Period</w:t>
      </w:r>
      <w:r>
        <w:rPr>
          <w:rFonts w:ascii="Times New Roman;Times;Serif" w:hAnsi="Times New Roman;Times;Serif"/>
          <w:b w:val="false"/>
          <w:i w:val="false"/>
          <w:caps w:val="false"/>
          <w:smallCaps w:val="false"/>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Closing Date and (ii) the DPR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Payment Date</w:t>
      </w:r>
      <w:r>
        <w:rPr>
          <w:rFonts w:ascii="Times New Roman;Times;Serif" w:hAnsi="Times New Roman;Times;Serif"/>
          <w:b w:val="false"/>
          <w:i w:val="false"/>
          <w:caps w:val="false"/>
          <w:smallCaps w:val="false"/>
          <w:sz w:val="20"/>
        </w:rPr>
        <w:t>” shall mean the date that is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Closing Date and or an earlier date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DPR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DPRs are registered in the DPR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of Holders</w:t>
      </w:r>
      <w:r>
        <w:rPr>
          <w:rFonts w:ascii="Times New Roman;Times;Serif" w:hAnsi="Times New Roman;Times;Serif"/>
          <w:b w:val="false"/>
          <w:i w:val="false"/>
          <w:caps w:val="false"/>
          <w:smallCaps w:val="false"/>
          <w:sz w:val="20"/>
        </w:rPr>
        <w:t>” means, at any time, the registered Holder or Holders of more than 35% of the total number of DPRs registered at such time, as set forth on the DPR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or the chief financial officer of the Company, in their respective official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sz w:val="20"/>
        </w:rPr>
        <w:t>inter vivos</w:t>
      </w:r>
      <w:r>
        <w:rPr>
          <w:rFonts w:ascii="Times New Roman;Times;Serif" w:hAnsi="Times New Roman;Times;Serif"/>
          <w:b w:val="false"/>
          <w:i w:val="false"/>
          <w:caps w:val="false"/>
          <w:smallCaps w:val="false"/>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joint venture, limited liability company, firm, corporation, unincorporated association or organization, trust or other entity, and shall include any successor (by merger or otherwise) of any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the Special Dividend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of this Agreement, and thereafter “Rights Agent” will mean such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DIVIDEND PAYMENT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Holders of DPRs;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DPRs shall be issued to the holders of shares of Common Stock as of the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Non-transferable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The DPRs will not be listed on any quotation system or traded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rights and obligations in respect of DPRs derive solely from this Agreement; DPRs will not be evidenced by a certificate or other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maintain an up-to-date register (the “</w:t>
      </w:r>
      <w:r>
        <w:rPr>
          <w:rFonts w:ascii="Times New Roman;Times;Serif" w:hAnsi="Times New Roman;Times;Serif"/>
          <w:b/>
          <w:i w:val="false"/>
          <w:caps w:val="false"/>
          <w:smallCaps w:val="false"/>
          <w:sz w:val="20"/>
        </w:rPr>
        <w:t>DPR Register</w:t>
      </w:r>
      <w:r>
        <w:rPr>
          <w:rFonts w:ascii="Times New Roman;Times;Serif" w:hAnsi="Times New Roman;Times;Serif"/>
          <w:b w:val="false"/>
          <w:i w:val="false"/>
          <w:caps w:val="false"/>
          <w:smallCaps w:val="false"/>
          <w:sz w:val="20"/>
        </w:rPr>
        <w:t>”)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the rights of the Rights Agent, neither the Company nor its Subsidiaries will have any responsibility or liability whatsoever to any person other than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the satisfaction of each of the Company’s obligations set forth in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time period for payment of the DPR Payment by the Rights Agent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will be extended by a period equal to any delay caused by the Holder providing such forms;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in no event shall such period be extended for more than ten (10) Business Days, unless otherwise requested by the Holder for the purpose of delivering such forms and agreed to by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DPRs will not have any voting or dividend rights, and interest will not accrue on any amounts payable in respect of DPRs.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Ability to Abandon DPR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permissive rights of the Rights Agent hereunder will not be construed as a duty.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will not be required to give any note or surety in respect of the execution of its powers or otherwise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addition to the indemnification provided under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or Section 3.2(f), if the Company is found by a court of competent jurisdiction to be liable to the Rights Agent or the Holders, as applicable in such suit.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The obligations of the Company and the rights of the Rights Agent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expiration of the DPRs and the termination of this Agreement and the resignation, replacement or removal of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Majority of Holders, the Company will not appoint as a successor Rights Agent any Person that is not a stock transfer agent of national reputation or the corporate trust department of a commercial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or assume any additional liability in connection with the foregoing without compensation or reimbursement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List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end of the DPR Period, the Company shall, and shall cause its Affiliates to, keep true, complete and accurate records in sufficient detail to support the applicable DPR Payments, if any, payable hereunder in accordance with the terms specified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AMENDMENTS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shall not adversely affect the interests of the 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shall not adversely affect the interests of the 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may be necessary or appropriate to ensure that the Company is not required to produce a prospectus or an admission document in order to comply with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may be necessary or appropriate to ensure that the Company complies with applicable Law;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effect any other amendment to this Agreement that would provide any additional rights or benefits to the Holders or that does not adversely affect the legal rights under this Agreement of any such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Effect of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The Company May Not Consolidate,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DPR Period, the Company shall not consolidate with or merge into any other Person or convey, transfer or lease all or substantially all of its properties and assets to any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sz w:val="20"/>
        </w:rPr>
        <w:t>Surviving Person</w:t>
      </w:r>
      <w:r>
        <w:rPr>
          <w:rFonts w:ascii="Times New Roman;Times;Serif" w:hAnsi="Times New Roman;Times;Serif"/>
          <w:b w:val="false"/>
          <w:i w:val="false"/>
          <w:caps w:val="false"/>
          <w:smallCaps w:val="false"/>
          <w:sz w:val="20"/>
        </w:rPr>
        <w:t>”) shall expressly assume the Company’s obligations under this Agreement, including payment of amounts on all DPRs in accordance with the applicable terms;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Successor Substituted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Notices to Rights Agent and to the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facsimile number as such party may hereafter specify for the purpose by notice to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Notice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Merger or Consolidation or Change of Name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Benefits of Agreement; Action by Majority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 appropriate, exclusive and convenient forum (the “</w:t>
      </w:r>
      <w:r>
        <w:rPr>
          <w:rFonts w:ascii="Times New Roman;Times;Serif" w:hAnsi="Times New Roman;Times;Serif"/>
          <w:b/>
          <w:i w:val="false"/>
          <w:caps w:val="false"/>
          <w:smallCaps w:val="false"/>
          <w:sz w:val="20"/>
        </w:rPr>
        <w:t>Forum</w:t>
      </w:r>
      <w:r>
        <w:rPr>
          <w:rFonts w:ascii="Times New Roman;Times;Serif" w:hAnsi="Times New Roman;Times;Serif"/>
          <w:b w:val="false"/>
          <w:i w:val="false"/>
          <w:caps w:val="false"/>
          <w:smallCaps w:val="false"/>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sz w:val="20"/>
          <w:u w:val="single"/>
        </w:rPr>
        <w:t>SECTION 7.9</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Severability Clause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the parties hereto will have no further liability hereunder upon the expiration of the DPR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references herein to “$” are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5449" w:type="dxa"/>
        <w:jc w:val="left"/>
        <w:tblInd w:w="0" w:type="dxa"/>
        <w:tblLayout w:type="fixed"/>
        <w:tblCellMar>
          <w:top w:w="0" w:type="dxa"/>
          <w:left w:w="0" w:type="dxa"/>
          <w:bottom w:w="0" w:type="dxa"/>
          <w:right w:w="0" w:type="dxa"/>
        </w:tblCellMar>
      </w:tblPr>
      <w:tblGrid>
        <w:gridCol w:w="75"/>
        <w:gridCol w:w="1836"/>
        <w:gridCol w:w="3538"/>
      </w:tblGrid>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INDIVIOR PHARMACEUTICALS, INC.</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COMPUTERSHARE TRUST COMPANY, N.A., </w:t>
            </w:r>
            <w:r>
              <w:rPr>
                <w:rFonts w:ascii="Times New Roman;Times;Serif" w:hAnsi="Times New Roman;Times;Serif"/>
                <w:b w:val="false"/>
                <w:i w:val="false"/>
                <w:caps w:val="false"/>
                <w:smallCaps w:val="false"/>
                <w:sz w:val="20"/>
              </w:rPr>
              <w:t>as Rights Agent</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left"/>
              <w:rPr>
                <w:caps w:val="false"/>
                <w:smallCaps w:val="false"/>
              </w:rPr>
            </w:pPr>
            <w:r>
              <w:rPr>
                <w:caps w:val="false"/>
                <w:smallCaps w:val="false"/>
              </w:rPr>
              <w:t> </w:t>
            </w:r>
          </w:p>
        </w:tc>
        <w:tc>
          <w:tcPr>
            <w:tcW w:w="3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2009d1_ex10-1.htm"/>
      <w:bookmarkStart w:id="25" w:name="kstm2622009d1_ex101"/>
      <w:bookmarkEnd w:id="24"/>
      <w:bookmarkEnd w:id="25"/>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Supernus Pharmaceuticals, Inc., a Delaware corporation (the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the Merger, (B) the adoption and approval of the Merger Agreement and the terms thereof, and (C) each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above, that are at any time or from time to time presented for consideration to the Supernus Stockholders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Indivior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Supernus.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Reliance by Indivior</w:t>
      </w:r>
      <w:r>
        <w:rPr>
          <w:rFonts w:ascii="Times New Roman;Times;Serif" w:hAnsi="Times New Roman;Times;Serif"/>
          <w:b w:val="false"/>
          <w:i w:val="false"/>
          <w:caps w:val="false"/>
          <w:smallCaps w:val="false"/>
          <w:sz w:val="20"/>
        </w:rPr>
        <w:t>. The Stockholder understands and acknowledges that Indivior is entering into the Merger Agreement in reliance upon the Stockholder’s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Indivior</w:t>
      </w:r>
      <w:r>
        <w:rPr>
          <w:rFonts w:ascii="Times New Roman;Times;Serif" w:hAnsi="Times New Roman;Times;Serif"/>
          <w:b w:val="false"/>
          <w:i w:val="false"/>
          <w:caps w:val="false"/>
          <w:smallCaps w:val="false"/>
          <w:sz w:val="20"/>
        </w:rPr>
        <w:t>. Indivior hereby represents and warrants to the Stockholder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Issa’s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720" w:right="0" w:hanging="0"/>
        <w:jc w:val="left"/>
        <w:rPr>
          <w:caps w:val="false"/>
          <w:smallCaps w:val="false"/>
        </w:rPr>
      </w:pPr>
      <w:r>
        <w:rPr>
          <w:caps w:val="false"/>
          <w:smallCaps w:val="false"/>
        </w:rPr>
        <w:t> </w:t>
      </w:r>
    </w:p>
    <w:tbl>
      <w:tblPr>
        <w:tblW w:w="973" w:type="dxa"/>
        <w:jc w:val="left"/>
        <w:tblInd w:w="0" w:type="dxa"/>
        <w:tblLayout w:type="fixed"/>
        <w:tblCellMar>
          <w:top w:w="0" w:type="dxa"/>
          <w:left w:w="0" w:type="dxa"/>
          <w:bottom w:w="0" w:type="dxa"/>
          <w:right w:w="0" w:type="dxa"/>
        </w:tblCellMar>
      </w:tblPr>
      <w:tblGrid>
        <w:gridCol w:w="38"/>
        <w:gridCol w:w="8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65"/>
        <w:gridCol w:w="282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Indivior Pharmaceuticals,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Preblick</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Supernus Shares, Supernus Options, Supernus RSUs, Supernus PSUs and Supernus ESPP Purchase Rights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10" w:type="dxa"/>
        <w:tblLayout w:type="fixed"/>
        <w:tblCellMar>
          <w:top w:w="28" w:type="dxa"/>
          <w:left w:w="28" w:type="dxa"/>
          <w:bottom w:w="28" w:type="dxa"/>
          <w:right w:w="28" w:type="dxa"/>
        </w:tblCellMar>
      </w:tblPr>
      <w:tblGrid>
        <w:gridCol w:w="1055"/>
        <w:gridCol w:w="845"/>
        <w:gridCol w:w="950"/>
        <w:gridCol w:w="995"/>
        <w:gridCol w:w="995"/>
        <w:gridCol w:w="995"/>
        <w:gridCol w:w="60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Shares</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underlying</w:t>
              <w:br/>
              <w:t>Supernus</w:t>
              <w:br/>
              <w:t>Options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Supernus</w:t>
              <w:br/>
              <w:t>Shares</w:t>
              <w:br/>
              <w:t xml:space="preserve">underlying </w:t>
              <w:br/>
              <w:t xml:space="preserve">Supernus </w:t>
              <w:br/>
              <w:t>RSUs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Supernus</w:t>
              <w:br/>
              <w:t>PSUs</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Supernus </w:t>
              <w:br/>
              <w:t xml:space="preserve">Shares </w:t>
              <w:br/>
              <w:t xml:space="preserve">underlying </w:t>
              <w:br/>
              <w:t xml:space="preserve">Supernus </w:t>
              <w:br/>
              <w:t xml:space="preserve">ESPP </w:t>
              <w:br/>
              <w:t>Purchase</w:t>
              <w:br/>
              <w:t>Rights</w:t>
            </w:r>
          </w:p>
        </w:tc>
        <w:tc>
          <w:tcPr>
            <w:tcW w:w="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Supernus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6" w:name="tm2622009d1_ex10-2.htm"/>
      <w:bookmarkStart w:id="27" w:name="kstm2622009d1_ex102"/>
      <w:bookmarkEnd w:id="26"/>
      <w:bookmarkEnd w:id="27"/>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VOTING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1, 2026, by and between Supernus Pharmaceuticals, Inc., a Delaware corporation (“</w:t>
      </w:r>
      <w:r>
        <w:rPr>
          <w:rFonts w:ascii="Times New Roman;Times;Serif" w:hAnsi="Times New Roman;Times;Serif"/>
          <w:b/>
          <w:i w:val="false"/>
          <w:caps w:val="false"/>
          <w:smallCaps w:val="false"/>
          <w:sz w:val="20"/>
        </w:rPr>
        <w:t>Supernus</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of Indivior Pharmaceuticals, Inc., a Delaware corporation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WITNESSETH:</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are entering into an Agreement and Plan of Merger, dated as of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Merger Sub will merge with and into Supernus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Supernus continuing as the surviving corporation and a wholly owned Subsidiary of Indivior;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all outstanding shares of capital stock of Supernus will be converted into the right to receive the consideration set forth in Section 2.8 of the Merger Agreement, subject to and conditioned upon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and inducement to the willingness of Supernus and Indivior to enter into the Merger Agreement, the Stockholder (in the Stockholder’s capacity as such)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All capitalized terms that are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favor of (A) Indivior Share Issuance, and (B) each of the transactions contemplated by the Merger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approval of any proposal made in opposition to, in competition with, or inconsistent with, the Merger Agreement or the Merger or any of the transactions contemplated thereby;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action that is intended to, or would reasonably be expected to materially, impede, interfere with, delay, postpone, discourage or adversely affect the Merger or any of the other transactions contemplated thereby, including against any Acquisition Proposal;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favor of any other matter necessary or appropriate to effect the consummation of the transactions contemplated by the Merger Agreement, including the Indivior Share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that are at any time or from time to time presented for consideration to the Supernus Stockholders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Certain Other Actions</w:t>
      </w:r>
      <w:r>
        <w:rPr>
          <w:rFonts w:ascii="Times New Roman;Times;Serif" w:hAnsi="Times New Roman;Times;Serif"/>
          <w:b w:val="false"/>
          <w:i w:val="false"/>
          <w:caps w:val="false"/>
          <w:smallCaps w:val="false"/>
          <w:sz w:val="20"/>
        </w:rPr>
        <w:t>.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Supernus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does not own, beneficially or otherwise, any voting securities of Indivior.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Legal Proceedin</w:t>
      </w:r>
      <w:r>
        <w:rPr>
          <w:rFonts w:ascii="Times New Roman;Times;Serif" w:hAnsi="Times New Roman;Times;Serif"/>
          <w:b w:val="false"/>
          <w:i w:val="false"/>
          <w:caps w:val="false"/>
          <w:smallCaps w:val="false"/>
          <w:sz w:val="20"/>
        </w:rPr>
        <w:t>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Reliance by Supernus</w:t>
      </w:r>
      <w:r>
        <w:rPr>
          <w:rFonts w:ascii="Times New Roman;Times;Serif" w:hAnsi="Times New Roman;Times;Serif"/>
          <w:b w:val="false"/>
          <w:i w:val="false"/>
          <w:caps w:val="false"/>
          <w:smallCaps w:val="false"/>
          <w:sz w:val="20"/>
        </w:rPr>
        <w:t>. The Stockholder understands and acknowledges that Supernus is entering into the Merger Agreement in reliance upon the Stockholder’s execution and delivery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Supernus</w:t>
      </w:r>
      <w:r>
        <w:rPr>
          <w:rFonts w:ascii="Times New Roman;Times;Serif" w:hAnsi="Times New Roman;Times;Serif"/>
          <w:b w:val="false"/>
          <w:i w:val="false"/>
          <w:caps w:val="false"/>
          <w:smallCaps w:val="false"/>
          <w:sz w:val="20"/>
        </w:rPr>
        <w:t>. Supernus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 Organization; Binding Agreement</w:t>
      </w:r>
      <w:r>
        <w:rPr>
          <w:rFonts w:ascii="Times New Roman;Times;Serif" w:hAnsi="Times New Roman;Times;Serif"/>
          <w:b w:val="false"/>
          <w:i w:val="false"/>
          <w:caps w:val="false"/>
          <w:smallCaps w:val="false"/>
          <w:sz w:val="20"/>
        </w:rPr>
        <w:t>.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shall survive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Validit</w:t>
      </w:r>
      <w:r>
        <w:rPr>
          <w:rFonts w:ascii="Times New Roman;Times;Serif" w:hAnsi="Times New Roman;Times;Serif"/>
          <w:b w:val="false"/>
          <w:i w:val="false"/>
          <w:caps w:val="false"/>
          <w:smallCaps w:val="false"/>
          <w:sz w:val="20"/>
        </w:rPr>
        <w:t>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xml:space="preserve">. Except for the provisions that survive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all representations, warranties, covenants and agreements in this Agreement, and all rights and remedies with respect thereto, shall not survive the Expiration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Amendments;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Specific Performance; Injunctive Relief</w:t>
      </w:r>
      <w:r>
        <w:rPr>
          <w:rFonts w:ascii="Times New Roman;Times;Serif" w:hAnsi="Times New Roman;Times;Serif"/>
          <w:b w:val="false"/>
          <w:i w:val="false"/>
          <w:caps w:val="false"/>
          <w:smallCaps w:val="false"/>
          <w:sz w:val="20"/>
        </w:rPr>
        <w:t>.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Supernus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br/>
        <w:t>9710 Medical Center Drive,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br/>
        <w:t xml:space="preserve">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Ewing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M Street NW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1000N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Stockholder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br/>
        <w:t>10710 Midlothian Turnpike, Suite 125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Chesterfield, VA 23235</w:t>
        <w:br/>
        <w:t xml:space="preserve">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not intended to confer and does not confer upon any Person other than the parties hereto any rights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sz w:val="20"/>
          <w:u w:val="single"/>
        </w:rPr>
        <w:t>Section 13(j)</w:t>
      </w:r>
      <w:r>
        <w:rPr>
          <w:rFonts w:ascii="Times New Roman;Times;Serif" w:hAnsi="Times New Roman;Times;Serif"/>
          <w:b w:val="false"/>
          <w:i w:val="false"/>
          <w:caps w:val="false"/>
          <w:smallCaps w:val="false"/>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hereto irrevocably waive any and all right to trial by jury in any legal proceeding arising out of or relating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The parties hereto hereby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hereto and supersedes all other prior agreements and understandings, both written and oral, among or between any of the parties hereto with respect to the subject matter hereof and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article and section headings contained in this Agreement are solely for the purpose of reference, are not part of the agreement of the parties hereto and shall not in any way affect or be deemed to affect the meaning or interpretation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costs and expenses incurred in connection with this Agreement and the transactions contemplated hereby shall be paid by the party incurring such fees, costs and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772"/>
        <w:gridCol w:w="2772"/>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PHARMACEUTICALS, INC.</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A. Khattar</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Indivior Voting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both"/>
              <w:rPr>
                <w:b/>
              </w:rPr>
            </w:pPr>
            <w:r>
              <w:rPr>
                <w:b/>
              </w:rPr>
              <w:t>STOCKHOLDER: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r>
              <w:rPr/>
              <w:t>[Name]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Schedule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Indivior Shares, Indivior PSUs, Indivior RSUs and Indivior ESPP Purchase Rights</w:t>
      </w:r>
    </w:p>
    <w:p>
      <w:pPr>
        <w:pStyle w:val="TextBody"/>
        <w:bidi w:val="0"/>
        <w:spacing w:before="0" w:after="0"/>
        <w:ind w:left="0" w:right="0" w:hanging="0"/>
        <w:jc w:val="center"/>
        <w:rPr>
          <w:smallCaps/>
        </w:rPr>
      </w:pPr>
      <w:r>
        <w:rPr>
          <w:smallCaps/>
        </w:rPr>
        <w:t> </w:t>
      </w:r>
    </w:p>
    <w:tbl>
      <w:tblPr>
        <w:tblW w:w="8610" w:type="dxa"/>
        <w:jc w:val="left"/>
        <w:tblInd w:w="-10" w:type="dxa"/>
        <w:tblLayout w:type="fixed"/>
        <w:tblCellMar>
          <w:top w:w="40" w:type="dxa"/>
          <w:left w:w="28" w:type="dxa"/>
          <w:bottom w:w="40" w:type="dxa"/>
          <w:right w:w="28" w:type="dxa"/>
        </w:tblCellMar>
      </w:tblPr>
      <w:tblGrid>
        <w:gridCol w:w="1055"/>
        <w:gridCol w:w="1340"/>
        <w:gridCol w:w="1700"/>
        <w:gridCol w:w="1700"/>
        <w:gridCol w:w="1700"/>
        <w:gridCol w:w="111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Stockholder</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PSUs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RSUs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Indivior Shares</w:t>
              <w:br/>
              <w:t>underlying Indivior</w:t>
              <w:br/>
              <w:t>ESPP Purchase</w:t>
              <w:br/>
              <w:t>Rights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Total Shares</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tm2622009d1_ex10-3.htm"/>
      <w:bookmarkStart w:id="29" w:name="kstm2622009d1_ex103"/>
      <w:bookmarkEnd w:id="28"/>
      <w:bookmarkEnd w:id="29"/>
      <w:r>
        <w:rPr>
          <w:b/>
        </w:rPr>
        <w:t>Exhibit 10.3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AMENDED AND RESTATED EMPLOYMENT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this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 by and between Supernus Pharmaceuticals,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Jack Khattar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This Agreement shall become effective only upon, and shall be contingent upon, the consummation of the Merger (as defined below). If the Merger is not consummated, this Agreement shall be null and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and the Company originally entered into an amended and restated employment agreement dated February 29, 2012, as amended through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merging with and into Artemis Merger Sub Inc., a subsidiary of Indivior Pharmaceuticals Inc.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pursuant to that certain Agreement and Plan of Merger dated August 1,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and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pursuant to which Merger, the Company shall be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following the consummation of the Merger, Indivior will continue as the parent of the Company and will change its name to Supernus, Inc. (such post-Merger Indivior entity, the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and the Company desire that, effective upon the closing of the Merger (such closing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the Executive’s employment relationship with the Company continue on the terms and conditions set forth in this Agreement, and that this Agreement amend, restate and supersede in its entirety the Executive’s prior employment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premises and other consideration, the receipt and sufficiency of which are hereby acknowledged, the parties hereto, intending to be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Employment and Term</w:t>
      </w:r>
      <w:r>
        <w:rPr>
          <w:rFonts w:ascii="Times New Roman;Times;Serif" w:hAnsi="Times New Roman;Times;Serif"/>
          <w:b w:val="false"/>
          <w:i w:val="false"/>
          <w:caps w:val="false"/>
          <w:smallCaps w:val="false"/>
          <w:sz w:val="20"/>
        </w:rPr>
        <w:t xml:space="preserve">. The Company agrees to continue to employ Executive, and Executive accepts continued employment, on the terms and conditions set forth in this Agreement. Executive’s employment shall continue until terminated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(such period of employment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Executive’s employment shall be “at-will” at all times, subject to the terms and conditions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Position, Duties, and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caps w:val="false"/>
          <w:smallCaps w:val="false"/>
          <w:sz w:val="20"/>
        </w:rPr>
        <w:t>Position</w:t>
      </w:r>
      <w:r>
        <w:rPr>
          <w:rFonts w:ascii="Times New Roman;Times;Serif" w:hAnsi="Times New Roman;Times;Serif"/>
          <w:b w:val="false"/>
          <w:i w:val="false"/>
          <w:caps w:val="false"/>
          <w:smallCaps w:val="false"/>
          <w:sz w:val="20"/>
        </w:rPr>
        <w:t>. Executive shall serve as the Chief Executive Officer of the Company and its subsidiaries and affiliates and have such responsibilities and authority customary for such position. From and after the Effective Date, Executive shall report directly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caps w:val="false"/>
          <w:smallCaps w:val="false"/>
          <w:sz w:val="20"/>
        </w:rPr>
        <w:t>Place of Work</w:t>
      </w:r>
      <w:r>
        <w:rPr>
          <w:rFonts w:ascii="Times New Roman;Times;Serif" w:hAnsi="Times New Roman;Times;Serif"/>
          <w:b w:val="false"/>
          <w:i w:val="false"/>
          <w:caps w:val="false"/>
          <w:smallCaps w:val="false"/>
          <w:sz w:val="20"/>
        </w:rPr>
        <w:t>. Executive’s primary workplace shall be the Company’s headquarters in Rockville, MD. Executive may perform his duties remotely in accordance with, and subject to, the Company’s remote work and other applicable policies. Executive will travel as necessary in the course of performing his duties for the Company, the Parent and their subsidiaries and affiliates.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caps w:val="false"/>
          <w:smallCaps w:val="false"/>
          <w:sz w:val="20"/>
        </w:rPr>
        <w:t>Performance</w:t>
      </w:r>
      <w:r>
        <w:rPr>
          <w:rFonts w:ascii="Times New Roman;Times;Serif" w:hAnsi="Times New Roman;Times;Serif"/>
          <w:b w:val="false"/>
          <w:i w:val="false"/>
          <w:caps w:val="false"/>
          <w:smallCaps w:val="false"/>
          <w:sz w:val="20"/>
        </w:rPr>
        <w:t>. Executive shall devote substantially all of Executive’s working time and use Executive’s best efforts, knowledge and experience to perform successfully Executive’s duties and advance the interests of the Company, the Parent and their subsidiaries and affiliates. Executive shall perform Executive’s duties in compliance with this Agreement and all applicable laws and Company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caps w:val="false"/>
          <w:smallCaps w:val="false"/>
          <w:sz w:val="20"/>
        </w:rPr>
        <w:t>Other Activities</w:t>
      </w:r>
      <w:r>
        <w:rPr>
          <w:rFonts w:ascii="Times New Roman;Times;Serif" w:hAnsi="Times New Roman;Times;Serif"/>
          <w:b w:val="false"/>
          <w:i w:val="false"/>
          <w:caps w:val="false"/>
          <w:smallCaps w:val="false"/>
          <w:sz w:val="20"/>
        </w:rPr>
        <w:t>. During the Term, without the prior written consent of the Company, the Executive shall not (a) render services of a business, professional, or commercial nature to any other person or entity, or (b) engage, directly or indirectly, in any other business activity (whether or not for compensation) that might interfere with Executive’s duties, create a conflict with the Company, the Parent or any of their subsidiaries or affiliates, or violate the Agreement. Notwithstanding the foregoing, Executive shall be permitted to: (i) with the prior written consent of the Board act or serve as a director, trustee, committee member, or principal of any type of business, civic, or charitable organization as long as such activities are disclosed in writing to the Company’s human resources department in accordance with the Company’s conflict of interest policy in effect from time to time, and (ii) purchase or own less than five percent (5%) of the publicly traded securities of any corporation; provided that, such ownership represents a passive investment and that the Executive is not a controlling person of, or a member of a group that controls, such corporation; provided further that, the activities described in clauses (i) and (ii) do not interfere with the performance of the Executive’s duties and responsibilities to the Company as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caps w:val="false"/>
          <w:smallCaps w:val="false"/>
          <w:sz w:val="20"/>
        </w:rPr>
        <w:t>Directorship</w:t>
      </w:r>
      <w:r>
        <w:rPr>
          <w:rFonts w:ascii="Times New Roman;Times;Serif" w:hAnsi="Times New Roman;Times;Serif"/>
          <w:b w:val="false"/>
          <w:i w:val="false"/>
          <w:caps w:val="false"/>
          <w:smallCaps w:val="false"/>
          <w:sz w:val="20"/>
        </w:rPr>
        <w:t>. During the Term, Executive will, subject to any necessary stockholder approvals, serve as a member of the Board of Directors of the Parent and as a member of the Board of Directors of the Company, in each case without additional compensation. Executive may also hold office as a director or officer of any subsidiaries or affiliates of the Company or the Parent without additional compensation. Executive shall resign, effective immediately, from any such directorships or offices upon termination of Executive’s employment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Compensation and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Executive’s annual base salary for all services rendered under this Agreement shall be $1,115,000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subject to applicable taxes and withholdings and payable in accordance with the Company’s policies, procedures and practices as in effect from time to time. Pursuant to its usual and customary practices, this Base Salary shall continue until the Board conducts its annual review and retains a reputable third-party to conduct an analysis of compensation at comparable companies and makes its recommendations to the Board for 2027 compensation. The Base Salary may be increased at the sole and absolute discretion of the Board (or a duly authorized committee thereof) during the Term.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caps w:val="false"/>
          <w:smallCaps w:val="false"/>
          <w:sz w:val="20"/>
        </w:rPr>
        <w:t>Bonus</w:t>
      </w:r>
      <w:r>
        <w:rPr>
          <w:rFonts w:ascii="Times New Roman;Times;Serif" w:hAnsi="Times New Roman;Times;Serif"/>
          <w:b w:val="false"/>
          <w:i w:val="false"/>
          <w:caps w:val="false"/>
          <w:smallCaps w:val="false"/>
          <w:sz w:val="20"/>
        </w:rPr>
        <w:t>. Executive shall be eligible for an annual cash bonus targeted at 100% of the Base Salary, up to a maximum of 200% of the Base Salary (an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xml:space="preserve">”). The actual amount of any Annual Bonus will be determined by the Company based on the achievement of individual and Company goals established by the Company in consultation with the Executive at the beginning of each calendar year. Any Annual Bonus will be paid by March 15 of the following calendar year. Except as set forth in </w:t>
      </w:r>
      <w:r>
        <w:rPr>
          <w:rFonts w:ascii="Times New Roman;Times;Serif" w:hAnsi="Times New Roman;Times;Serif"/>
          <w:b w:val="false"/>
          <w:i w:val="false"/>
          <w:caps w:val="false"/>
          <w:smallCaps w:val="false"/>
          <w:sz w:val="20"/>
          <w:u w:val="single"/>
        </w:rPr>
        <w:t>Sections 6.5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Executive must be employed with the Company through the end of the of the plan year in which the Annual Bonus was earned in order to be eligible to receive an Annual Bonus. Eligibility for and payment of an Annual Bonus shall be subject to all terms and conditions as the Company may set forth from time to time in any written policy or plan, including any policy or plan governing bonuses or incentive compensation of any type, which shall be made available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caps w:val="false"/>
          <w:smallCaps w:val="false"/>
          <w:sz w:val="20"/>
        </w:rPr>
        <w:t>Vacation</w:t>
      </w:r>
      <w:r>
        <w:rPr>
          <w:rFonts w:ascii="Times New Roman;Times;Serif" w:hAnsi="Times New Roman;Times;Serif"/>
          <w:b w:val="false"/>
          <w:i w:val="false"/>
          <w:caps w:val="false"/>
          <w:smallCaps w:val="false"/>
          <w:sz w:val="20"/>
        </w:rPr>
        <w:t>. Executive shall be entitled to 25 days of paid vacation per calendar year, subject to the terms and conditions of the Company vacation policy. In the event of a conflict between the Company vacation policy and this Agreement, the terms of this Agreement shall apply. Unused vacation days for a year may be rolled over and used by Executive before March 30th of the following year. Any accrued but unused vacation days at the time of Executive’s termination of employment shall be paid to Executive. Any vacation shall be taken at the reasonable and mutual convenience of the Company and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caps w:val="false"/>
          <w:smallCaps w:val="false"/>
          <w:sz w:val="20"/>
        </w:rPr>
        <w:t>Business Expenses</w:t>
      </w:r>
      <w:r>
        <w:rPr>
          <w:rFonts w:ascii="Times New Roman;Times;Serif" w:hAnsi="Times New Roman;Times;Serif"/>
          <w:b w:val="false"/>
          <w:i w:val="false"/>
          <w:caps w:val="false"/>
          <w:smallCaps w:val="false"/>
          <w:sz w:val="20"/>
        </w:rPr>
        <w:t xml:space="preserve">. Executive shall be reimbursed for all reasonable and necessary business expenses actually incurred by Executive in performing services under this Agreement in accordance with the applicable Company policies and practices as in effect from time to time. Any taxable reimbursement due under the terms of this Agreement shall be paid no later than December 31 of the year after the year in which the expense is incurred and shall comply with Treas. Reg. § 1.409A-3 (i) (l)(iv). The Company may provide Executive use of a corporate credit card for business expenses. Executive may not use any Company-issued corporate credit cards for personal expenses. Any personal expenses charged to a Company-issued corporate credit card must be paid by Executive prior to the date of Executive’s employment termination. Executive shall pay the Company’s reasonable costs and expenses, including attorneys’ fees, that the Company incurs to enforce Executive’s obligations under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caps w:val="false"/>
          <w:smallCaps w:val="false"/>
          <w:sz w:val="20"/>
        </w:rPr>
        <w:t>Incentive Plans and Equity</w:t>
      </w:r>
      <w:r>
        <w:rPr>
          <w:rFonts w:ascii="Times New Roman;Times;Serif" w:hAnsi="Times New Roman;Times;Serif"/>
          <w:b w:val="false"/>
          <w:i w:val="false"/>
          <w:caps w:val="false"/>
          <w:smallCaps w:val="false"/>
          <w:sz w:val="20"/>
        </w:rPr>
        <w:t>. As part of the Board’s annual review of Executive’s compensation for 2027, the Board will review and if appropriate revise Executive’s existing eligibility for, or will consider new, long-term equity or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caps w:val="false"/>
          <w:smallCaps w:val="false"/>
          <w:sz w:val="20"/>
        </w:rPr>
        <w:t>Other Benefits</w:t>
      </w:r>
      <w:r>
        <w:rPr>
          <w:rFonts w:ascii="Times New Roman;Times;Serif" w:hAnsi="Times New Roman;Times;Serif"/>
          <w:b w:val="false"/>
          <w:i w:val="false"/>
          <w:caps w:val="false"/>
          <w:smallCaps w:val="false"/>
          <w:sz w:val="20"/>
        </w:rPr>
        <w:t>. The Executive will be eligible to participate in all employee benefit plans, practices, and programs maintained or participated in by the Company and made available to similarly situated employees generally, which may include retirement profit sharing, savings, health, hospitalization, disability. dental, life or travel accident insurance benefit plans, and sick leave, in accordance with tire terms of such plans, practices, and programs as in effect from time to time.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caps w:val="false"/>
          <w:smallCaps w:val="false"/>
          <w:sz w:val="20"/>
        </w:rPr>
        <w:t>Confidentiality</w:t>
      </w:r>
      <w:r>
        <w:rPr>
          <w:rFonts w:ascii="Times New Roman;Times;Serif" w:hAnsi="Times New Roman;Times;Serif"/>
          <w:b w:val="false"/>
          <w:i w:val="false"/>
          <w:caps w:val="false"/>
          <w:smallCaps w:val="false"/>
          <w:sz w:val="20"/>
        </w:rPr>
        <w:t>. From the date hereof, and during any period of the Executive’s Employment and following any termination thereof, without the prior written consent of the Board or its authorized representative, subject to the provision below and except to the extent required by (a) applicable law or regulation, or (b) pursuant to (i) an order of a court having jurisdiction, or (ii) a subpoena from a government agency, and except as required in the performance of Executive’s duties hereunder, the Executive shall not disclose any confidential or proprietary trade secrets, customer lists, referral sources, drawings, designs, information regarding product development, marketing plans, sales plans, manufacturing plans, management organization information (including but not limited to data and other information relating to members of the Board, the Company or any of its subsidiaries or affiliates or to the management of the Company or any its subsidiaries or affiliates), operating policies or manuals, business plans, financial records, packaging design or other financial, commercial, business or technical information (y) relating to the Company or any of its subsidiaries or affiliates or (z) that the Company or any of its subsidiaries or affiliates may receive belonging to suppliers, customers, referral sources or others who do business with the Company or any of its affiliates (collectively,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to any third person, unless such Confidential Information has been previously disclosed to the public or is in the public domain (in each case, other than by reason of the Executive’s breach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the wrongful act of any other Person having any obligation of confidentiality to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nothing in this Agreement between the Executive and the Company prohibits the Executive from (i) reporting any possible violations of applicable, laws, rules or regulations to any governmental agency or government entity, or (ii) making any other disclosures that are protected under federal, state, or local laws or regulations in the United States; provided that to the extent disclosure of Confidential Information is required by applicable law or regulation or pursuant to an order of a court or a subpoena, the Executive shall use the Executive’s best efforts to notify the Board prior to responding to any such order or subpoena.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caps w:val="false"/>
          <w:smallCaps w:val="false"/>
          <w:sz w:val="20"/>
        </w:rPr>
        <w:t>Return of Property</w:t>
      </w:r>
      <w:r>
        <w:rPr>
          <w:rFonts w:ascii="Times New Roman;Times;Serif" w:hAnsi="Times New Roman;Times;Serif"/>
          <w:b w:val="false"/>
          <w:i w:val="false"/>
          <w:caps w:val="false"/>
          <w:smallCaps w:val="false"/>
          <w:sz w:val="20"/>
        </w:rPr>
        <w:t>. In the event of the termination of the Executive’s Employment for any reason, the Executive shall deliver to the Company all of (a) the property of each of the Company and its subsidiaries and affiliates and (b) the documents and data of any nature and in whatever medium of each of the Company and its subsidiaries and affiliates, and the Executive shall not take with the Executive any such property, documents or data or any reproduction thereof, or any documents containing or pertaining to any Confidential Information other than those documents to which he is legally entitled, including, as the case may be, the Executive’s personnel file. Executive can also retain copies of his contact lists or files, with the understanding that he cannot use that information during the Restriction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caps w:val="false"/>
          <w:smallCaps w:val="false"/>
          <w:sz w:val="20"/>
        </w:rPr>
        <w:t>Non-Competition</w:t>
      </w:r>
      <w:r>
        <w:rPr>
          <w:rFonts w:ascii="Times New Roman;Times;Serif" w:hAnsi="Times New Roman;Times;Serif"/>
          <w:b w:val="false"/>
          <w:i w:val="false"/>
          <w:caps w:val="false"/>
          <w:smallCaps w:val="false"/>
          <w:sz w:val="20"/>
        </w:rPr>
        <w:t>. During the period commencing on the date hereof and ending twelve (12) months after the termination of the Executive’s Employment with the Company and its subsidiaries and affiliates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Executive shall not, except with the prior written consent of the Board, directly or indirectly, own any interest in, operate, join, control or participate as a partner, director, principal, officer, or agent of, enter into the employment of, act as a consultant to, or perform any services for any entity which has material operations which directly competes with the products or research and development projects of the Company and its subsidiaries and affiliates or in which the Company or any of its subsidiaries or affiliates was, or had documented plans to become, materially involved during the Executive’s Employment, in each case in any jurisdiction in which the Company or any of its subsidiaries or affiliates is engaged, or in which any of the foregoing has documented plans to become engaged of which the Executive has knowledge at the time of Executive’s termination of Employment. For the avoidance of doubt, the foregoing restriction applies only to products or projects that exist at or are planned at the time of Executive’s termination; these restrictions do not apply to any past products or projects that have ended or are inactive. Notwithstanding anything herein to the contrary, the foregoing shall not prevent the Executive from acquiring as an investment securities representing not more than two percent (2%) of the outstanding voting securities of any publicly held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caps w:val="false"/>
          <w:smallCaps w:val="false"/>
          <w:sz w:val="20"/>
        </w:rPr>
        <w:t>Non-Solicitation</w:t>
      </w:r>
      <w:r>
        <w:rPr>
          <w:rFonts w:ascii="Times New Roman;Times;Serif" w:hAnsi="Times New Roman;Times;Serif"/>
          <w:b w:val="false"/>
          <w:i w:val="false"/>
          <w:caps w:val="false"/>
          <w:smallCaps w:val="false"/>
          <w:sz w:val="20"/>
        </w:rPr>
        <w:t>. Acknowledging the strong interest of the Company and its subsidiaries and affiliates in an undisrupted workplace, during the Restriction Period, the Executive shall not, and shall not assist any Person to, (a) hire or solicit for hiring any employee or former employee of the Company or its subsidiaries or affiliates or seek to persuade any employee of the Company or subsidiaries or affiliates to discontinue employment or (b) solicit or encourage any independent contractor providing services to the Company or its subsidiaries or affiliates to terminate or diminish its relationship with the Company or any of its subsidiaries or affiliates. Executive acknowledges that his access to Confidential Information and to the Company’s and its subsidiaries’ and affiliates’ referral sources and customers and his development of goodwill on behalf of the Company and its subsidiaries and affiliates with their referral sources and customers during his Employment would give him an unfair competitive advantage were he to leave employment and begin competing with the Company or any of its subsidiaries or affiliates for their existing referral sources and customers and that he is therefore being granted access to Confidential Information and to the referral sources and customers of the Company and its subsidiaries and affiliates in reliance on his agreement hereunder. The Executive therefore agrees that, during the Restriction Period, he will not solicit or encourage any referral source or customer of the Company or its subsidiaries or affiliates to terminate or diminish its relationship with the Company, or any of its subsidiaries or affiliates and he will not seek to persuade any such referral source or customer to conduct with any Person any business or activity which such referral source or customer conducts or could conduct with the Company or any of its subsidiaries or affiliates; provided, however, that these restrictions shall apply only with respect to those Persons who are referral sources or customers of the Company or any of its subsidiaries and affiliates at any time during his Employment or whose business has been solicited on behalf of the Company or any of its subsidiaries or affiliates by any of their employees or agents, other than by form letter, blanket mailing or published advertisement, within one year prior to the date his employment ends.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caps w:val="false"/>
          <w:smallCaps w:val="false"/>
          <w:sz w:val="20"/>
        </w:rPr>
        <w:t>Works for Hire</w:t>
      </w:r>
      <w:r>
        <w:rPr>
          <w:rFonts w:ascii="Times New Roman;Times;Serif" w:hAnsi="Times New Roman;Times;Serif"/>
          <w:b w:val="false"/>
          <w:i w:val="false"/>
          <w:caps w:val="false"/>
          <w:smallCaps w:val="false"/>
          <w:sz w:val="20"/>
        </w:rPr>
        <w:t>. The Executive agrees to maintain accurate and complete contemporaneous records of and shall immediately and fully disclose and deliver to the Company, all Intellectual Property.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(or one of its subsidiaries or affiliates, as directed) and to permit the Company to enforce any patents, copyrights and other proprietary rights in the Intellectual Property. The Executive will not charge the Company or any of its subsidiaries or affiliates for time spent complying with these obligations. All copyrightable works that the Executive creates, including without limitation computer programs and documentation, shall be considered “work made for hire” and shall, upon creation, be owned exclusively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Injunctive Relief; Breach of Restrictive Covenants; Blue Pencil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caps w:val="false"/>
          <w:smallCaps w:val="false"/>
          <w:sz w:val="20"/>
        </w:rPr>
        <w:t>Injunctive Relief</w:t>
      </w:r>
      <w:r>
        <w:rPr>
          <w:rFonts w:ascii="Times New Roman;Times;Serif" w:hAnsi="Times New Roman;Times;Serif"/>
          <w:b w:val="false"/>
          <w:i w:val="false"/>
          <w:caps w:val="false"/>
          <w:smallCaps w:val="false"/>
          <w:sz w:val="20"/>
        </w:rPr>
        <w:t xml:space="preserve">. The Executive acknowledges and agrees that the covenants, obligations and agreements of Executive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relate to special, unique and extraordinary matters and that a violation of any of the terms of such covenants, obligations or agreements will cause the Company irreparable injury for which adequate remedies are not available at law. Therefore, the Executive agrees that the Company shall be entitled to an injunction, restraining order or such other equitable relief (without the requirement to post bond) as a court of competent jurisdiction may deem necessary or appropriate to restrain the Executive from committing any violation of such covenants, obligations or agreements, and shall additionally be entitled to an award of reasonable attorneys’ fees. These injunctive remedies are cumulative and in addition to any other rights and remedies the Company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caps w:val="false"/>
          <w:smallCaps w:val="false"/>
          <w:sz w:val="20"/>
        </w:rPr>
        <w:t>Breach of Restrictive Covenants</w:t>
      </w:r>
      <w:r>
        <w:rPr>
          <w:rFonts w:ascii="Times New Roman;Times;Serif" w:hAnsi="Times New Roman;Times;Serif"/>
          <w:b w:val="false"/>
          <w:i w:val="false"/>
          <w:caps w:val="false"/>
          <w:smallCaps w:val="false"/>
          <w:sz w:val="20"/>
        </w:rPr>
        <w:t>. The Executive agrees that in the event the Executive breaches any provision of Section 4 hereof in any material respect, the Executive shall (a) not be entitled to receive, if not already paid, (b) return to the Company any and all severance payments previously made by the Company pursuant to this Agreement and, within 15 days after written demand for such repayment is made to the Executive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caps w:val="false"/>
          <w:smallCaps w:val="false"/>
          <w:sz w:val="20"/>
        </w:rPr>
        <w:t>Blue Pencil</w:t>
      </w:r>
      <w:r>
        <w:rPr>
          <w:rFonts w:ascii="Times New Roman;Times;Serif" w:hAnsi="Times New Roman;Times;Serif"/>
          <w:b w:val="false"/>
          <w:i w:val="false"/>
          <w:caps w:val="false"/>
          <w:smallCaps w:val="false"/>
          <w:sz w:val="20"/>
        </w:rPr>
        <w:t xml:space="preserve">. The Executive and the Company agree that the covenants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are reasonable covenants under the circumstances, and further agree that if, in the opinion of any court of competent jurisdiction such covenants are not reasonable in any respect, such court shall have the right, power and authority to (and it is the intent of the Executive and the Company that such court shall) excise or modify such provision or provisions of these covenants that to the court appear not reasonable and to enforce the remainder of these covenants as so amended.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 xml:space="preserve">. Executive’s employment may be terminated in accordance with the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caps w:val="false"/>
          <w:smallCaps w:val="false"/>
          <w:sz w:val="20"/>
        </w:rPr>
        <w:t>Termination by the Company</w:t>
      </w:r>
      <w:r>
        <w:rPr>
          <w:rFonts w:ascii="Times New Roman;Times;Serif" w:hAnsi="Times New Roman;Times;Serif"/>
          <w:b w:val="false"/>
          <w:i w:val="false"/>
          <w:caps w:val="false"/>
          <w:smallCaps w:val="false"/>
          <w:sz w:val="20"/>
        </w:rPr>
        <w:t>. The Company may terminate Executive’s employment immediately at any time, with or without Cause, by providing written notice to Executive, subject to the following: at any time prior to the third anniversary of the Effective Date, any decision to terminate Executive’s employment (for any reason, including any determination that Cause or Disability exists) must be approved by a majority of the members of the Board then in office, including at least one (1) Supernus Designee (as such term is defined in the Merger Agreement), but excluding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caps w:val="false"/>
          <w:smallCaps w:val="false"/>
          <w:sz w:val="20"/>
        </w:rPr>
        <w:t>Termination by the Company for Cause</w:t>
      </w:r>
      <w:r>
        <w:rPr>
          <w:rFonts w:ascii="Times New Roman;Times;Serif" w:hAnsi="Times New Roman;Times;Serif"/>
          <w:b w:val="false"/>
          <w:i w:val="false"/>
          <w:caps w:val="false"/>
          <w:smallCaps w:val="false"/>
          <w:sz w:val="20"/>
        </w:rPr>
        <w:t>. The Company may terminate Executive’s employment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i/>
          <w:caps w:val="false"/>
          <w:smallCaps w:val="false"/>
          <w:sz w:val="20"/>
          <w:u w:val="single"/>
        </w:rPr>
        <w:t>Determination of Cause</w:t>
      </w:r>
      <w:r>
        <w:rPr>
          <w:rFonts w:ascii="Times New Roman;Times;Serif" w:hAnsi="Times New Roman;Times;Serif"/>
          <w:b w:val="false"/>
          <w:i w:val="false"/>
          <w:caps w:val="false"/>
          <w:smallCaps w:val="false"/>
          <w:sz w:val="20"/>
        </w:rPr>
        <w:t xml:space="preserve">. If the Company believes it has Cause to terminate Executive, the Company shall give Executive a written notice setting forth the specific reasons why the Company believes that it has Cause to terminate Executive’s employment. Executive shall have thirty (30) days (or such longer period as may be mutually agreed by the Company and Executive) for Executive to (a) cure the underlying grounds described in the written notice for termination for Cause (if feasible) and reimburse the Company for any resulting losses; (b) accept the determination; or (c) negotiate a mutually agreeable resolution. If the dispute cannot be resolved within such 30-day period (as it may be extended by the Parties), the dispute shall be resolved by binding arbitration using a three-person panel under AAA commercial rules, JAMS employment rules or some other arbitration method mutually agreed to by both the Company and Executive. The arbitrators shall be instructed to reach a final decision within one hundred twenty (120) days of the commencement of the arbitration proceedings (or such longer period as mutually agreed by Executive and the Company. The arbitration proceeding shall occur in Rockville, Maryland, unless otherwise mutually agreed to by the Company and Executive. The decision of the arbitrators shall be final, binding and non-appealable absent manifest error. If the decision of the arbitrators is that Cause for termination did not exist, Executive shall be entitled to the benefits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for a termination without cause, or, if Executive is reinstated by the Company, for Executive’s Base Salary during the period between Executive’s termination and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caps w:val="false"/>
          <w:smallCaps w:val="false"/>
          <w:sz w:val="20"/>
        </w:rPr>
        <w:t>Termination by Executive without Good Reason</w:t>
      </w:r>
      <w:r>
        <w:rPr>
          <w:rFonts w:ascii="Times New Roman;Times;Serif" w:hAnsi="Times New Roman;Times;Serif"/>
          <w:b w:val="false"/>
          <w:i w:val="false"/>
          <w:caps w:val="false"/>
          <w:smallCaps w:val="false"/>
          <w:sz w:val="20"/>
        </w:rPr>
        <w:t>. Executive may terminate Executive's employment with the Company at any time without Good Reason upon at least sixty (60) days’ advance written notice to the Company. During such notice period, Executive shall continue to perform all of Executive’s duties in accordance with the provisions of the Agreement. The Company shall have the option, at its sole discretion, to require Executive to work remotely during the notice period or make Executive’s termination effective at any time prior to the end of such notice period, provided that the Company pays the Executive and continues his benefits through the end of the notice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caps w:val="false"/>
          <w:smallCaps w:val="false"/>
          <w:sz w:val="20"/>
        </w:rPr>
        <w:t>Termination by Executive for Good Reason</w:t>
      </w:r>
      <w:r>
        <w:rPr>
          <w:rFonts w:ascii="Times New Roman;Times;Serif" w:hAnsi="Times New Roman;Times;Serif"/>
          <w:b w:val="false"/>
          <w:i w:val="false"/>
          <w:caps w:val="false"/>
          <w:smallCaps w:val="false"/>
          <w:sz w:val="20"/>
        </w:rPr>
        <w:t>. Executive may terminate Executive’s employment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w:t>
      </w:r>
      <w:r>
        <w:rPr>
          <w:rFonts w:ascii="Times New Roman;Times;Serif" w:hAnsi="Times New Roman;Times;Serif"/>
          <w:b/>
          <w:i/>
          <w:caps w:val="false"/>
          <w:smallCaps w:val="false"/>
          <w:sz w:val="20"/>
          <w:u w:val="single"/>
        </w:rPr>
        <w:t>Determination of Good Reason</w:t>
      </w:r>
      <w:r>
        <w:rPr>
          <w:rFonts w:ascii="Times New Roman;Times;Serif" w:hAnsi="Times New Roman;Times;Serif"/>
          <w:b w:val="false"/>
          <w:i w:val="false"/>
          <w:caps w:val="false"/>
          <w:smallCaps w:val="false"/>
          <w:sz w:val="20"/>
        </w:rPr>
        <w:t>. If Executive believes he has Good Reason to resign, he shall give the Company written notice setting forth the specific reasons why Executive believes that he has Good Reason to terminate his employment. The Company shall have thirty (30) days (or such longer period as may be mutually agreed by the Company and Executive) for the Company to (a) cure the underlying grounds described in the written notice of termination for Good Reason (if feasible) and reimburse Executive for any resulting losses; (b) accept the determination; or (c) negotiate a mutually agreeable resolution. If the dispute cannot be resolved or cured within such 30-day period (as it may be extended), the dispute shall be resolved by binding arbitration using a three-person panel under AAA commercial rules, JAMS employment rules or some other arbitration method mutually agreed to by both the Company and Executive. The arbitrators shall be instructed to reach a final decision within one hundred twenty (120 days of the commencement of the arbitration proceeding (or such longer period as mutually agreed by Executive and Company). The arbitration proceeding shall occur in Rockville, Maryland, unless otherwise mutually agreed to by the Company and Executive. The decision of the arbitrators shall be final, binding and non-appealable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caps w:val="false"/>
          <w:smallCaps w:val="false"/>
          <w:sz w:val="20"/>
        </w:rPr>
        <w:t>Termination due to Death or Disability</w:t>
      </w:r>
      <w:r>
        <w:rPr>
          <w:rFonts w:ascii="Times New Roman;Times;Serif" w:hAnsi="Times New Roman;Times;Serif"/>
          <w:b w:val="false"/>
          <w:i w:val="false"/>
          <w:caps w:val="false"/>
          <w:smallCaps w:val="false"/>
          <w:sz w:val="20"/>
        </w:rPr>
        <w:t>. The Executive’s employment will terminate automatically upon his death. The Company may also terminate Executive due to Disability. If Executive’s employment is terminated by reason of death or Disability, Executive (or his estate, heirs, or personal representative, as applicable) shall be entitled to (a) continuation of his Base Salary through the end of that calendar year as if Executive had remained employed under this Agreement through that date, and (b) a pro-rata portion of the Annual Bonus Executive would have received for the year of termination based on the number of days Executive was employed from the start of the applicable calendar year until the date of termination, payable at the same time bonuses are paid to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Compensation and Benefits Upon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caps w:val="false"/>
          <w:smallCaps w:val="false"/>
          <w:sz w:val="20"/>
        </w:rPr>
        <w:t>In General</w:t>
      </w:r>
      <w:r>
        <w:rPr>
          <w:rFonts w:ascii="Times New Roman;Times;Serif" w:hAnsi="Times New Roman;Times;Serif"/>
          <w:b w:val="false"/>
          <w:i w:val="false"/>
          <w:caps w:val="false"/>
          <w:smallCaps w:val="false"/>
          <w:sz w:val="20"/>
        </w:rPr>
        <w:t>. Upon termination of Executive’s employment for any reason, Executive shall be entitled to receive payment of Executive’s accrued but unpaid Base Salary, unused vacation days and any other amounts or benefits, including expenses incurred before termination, in accordance with the provisions hereunder and the employee benefit plans in which Executive participates.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caps w:val="false"/>
          <w:smallCaps w:val="false"/>
          <w:sz w:val="20"/>
        </w:rPr>
        <w:t>Severance Upon Termination without Cause or for Good Reason</w:t>
      </w:r>
      <w:r>
        <w:rPr>
          <w:rFonts w:ascii="Times New Roman;Times;Serif" w:hAnsi="Times New Roman;Times;Serif"/>
          <w:b w:val="false"/>
          <w:i w:val="false"/>
          <w:caps w:val="false"/>
          <w:smallCaps w:val="false"/>
          <w:sz w:val="20"/>
        </w:rPr>
        <w:t xml:space="preserve">. If Executive’s employment is terminated by the Company without Cause or Executive terminates Executive’s employment for Good Reason, then subject to the provisions of </w:t>
      </w:r>
      <w:r>
        <w:rPr>
          <w:rFonts w:ascii="Times New Roman;Times;Serif" w:hAnsi="Times New Roman;Times;Serif"/>
          <w:b w:val="false"/>
          <w:i w:val="false"/>
          <w:caps w:val="false"/>
          <w:smallCaps w:val="false"/>
          <w:sz w:val="20"/>
          <w:u w:val="single"/>
        </w:rPr>
        <w:t>Sections 7.3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w:t>
      </w:r>
      <w:r>
        <w:rPr>
          <w:rFonts w:ascii="Times New Roman;Times;Serif" w:hAnsi="Times New Roman;Times;Serif"/>
          <w:b/>
          <w:i/>
          <w:caps w:val="false"/>
          <w:smallCaps w:val="false"/>
          <w:sz w:val="20"/>
          <w:u w:val="single"/>
        </w:rPr>
        <w:t>Continued Base Salary</w:t>
      </w:r>
      <w:r>
        <w:rPr>
          <w:rFonts w:ascii="Times New Roman;Times;Serif" w:hAnsi="Times New Roman;Times;Serif"/>
          <w:b w:val="false"/>
          <w:i w:val="false"/>
          <w:caps w:val="false"/>
          <w:smallCaps w:val="false"/>
          <w:sz w:val="20"/>
        </w:rPr>
        <w:t xml:space="preserve">. Executive shall be entitled to receive (a) Base Salary continuation for the Severance Period, payable in accordance with the Company’s regular payroll schedule during the Severance Period; (b) a lump-sum payment equal to the most recent Annual Bonus received by the Executive; and (c) COBRA benefits continuation as described in </w:t>
      </w:r>
      <w:r>
        <w:rPr>
          <w:rFonts w:ascii="Times New Roman;Times;Serif" w:hAnsi="Times New Roman;Times;Serif"/>
          <w:b w:val="false"/>
          <w:i w:val="false"/>
          <w:caps w:val="false"/>
          <w:smallCaps w:val="false"/>
          <w:sz w:val="20"/>
          <w:u w:val="single"/>
        </w:rPr>
        <w:t>Section 7.2.4</w:t>
      </w:r>
      <w:r>
        <w:rPr>
          <w:rFonts w:ascii="Times New Roman;Times;Serif" w:hAnsi="Times New Roman;Times;Serif"/>
          <w:b w:val="false"/>
          <w:i w:val="false"/>
          <w:caps w:val="false"/>
          <w:smallCaps w:val="false"/>
          <w:sz w:val="20"/>
        </w:rPr>
        <w:t xml:space="preserve"> below (collectively, the “</w:t>
      </w:r>
      <w:r>
        <w:rPr>
          <w:rFonts w:ascii="Times New Roman;Times;Serif" w:hAnsi="Times New Roman;Times;Serif"/>
          <w:b/>
          <w:i w:val="false"/>
          <w:caps w:val="false"/>
          <w:smallCaps w:val="false"/>
          <w:sz w:val="20"/>
        </w:rPr>
        <w:t>Severance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w:t>
      </w:r>
      <w:r>
        <w:rPr>
          <w:rFonts w:ascii="Times New Roman;Times;Serif" w:hAnsi="Times New Roman;Times;Serif"/>
          <w:b/>
          <w:i/>
          <w:caps w:val="false"/>
          <w:smallCaps w:val="false"/>
          <w:sz w:val="20"/>
          <w:u w:val="single"/>
        </w:rPr>
        <w:t>Acceleration of Vesting</w:t>
      </w:r>
      <w:r>
        <w:rPr>
          <w:rFonts w:ascii="Times New Roman;Times;Serif" w:hAnsi="Times New Roman;Times;Serif"/>
          <w:b w:val="false"/>
          <w:i w:val="false"/>
          <w:caps w:val="false"/>
          <w:smallCaps w:val="false"/>
          <w:sz w:val="20"/>
        </w:rPr>
        <w:t>. The Executive’s stock-based compensation arrangements shall be fully vested and nonforfeitable on the date of the Covered Termination and shall continue to be exercisable and payable in accordance with terms that apply under such arrangements other than any vesting requirements; provided that in no event will the time and form of payment of any such arrangement that is subject to Section 409A of the Internal Revenue of 1986, as amended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be modified as result of such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            </w:t>
      </w:r>
      <w:r>
        <w:rPr>
          <w:rFonts w:ascii="Times New Roman;Times;Serif" w:hAnsi="Times New Roman;Times;Serif"/>
          <w:b/>
          <w:i/>
          <w:caps w:val="false"/>
          <w:smallCaps w:val="false"/>
          <w:sz w:val="20"/>
          <w:u w:val="single"/>
        </w:rPr>
        <w:t>Severance Period</w:t>
      </w:r>
      <w:r>
        <w:rPr>
          <w:rFonts w:ascii="Times New Roman;Times;Serif" w:hAnsi="Times New Roman;Times;Serif"/>
          <w:b w:val="false"/>
          <w:i w:val="false"/>
          <w:caps w:val="false"/>
          <w:smallCaps w:val="false"/>
          <w:sz w:val="20"/>
        </w:rPr>
        <w:t>. As used in this Agreement, “</w:t>
      </w:r>
      <w:r>
        <w:rPr>
          <w:rFonts w:ascii="Times New Roman;Times;Serif" w:hAnsi="Times New Roman;Times;Serif"/>
          <w:b/>
          <w:i w:val="false"/>
          <w:caps w:val="false"/>
          <w:smallCaps w:val="false"/>
          <w:sz w:val="20"/>
        </w:rPr>
        <w:t>Severance Period</w:t>
      </w:r>
      <w:r>
        <w:rPr>
          <w:rFonts w:ascii="Times New Roman;Times;Serif" w:hAnsi="Times New Roman;Times;Serif"/>
          <w:b w:val="false"/>
          <w:i w:val="false"/>
          <w:caps w:val="false"/>
          <w:smallCaps w:val="false"/>
          <w:sz w:val="20"/>
        </w:rPr>
        <w:t>” shall mean eighteen (18) months following the termination of Executive’s employment; provided, however, that if the Executive’s employment is terminated by the Company without Cause or by Executive for Good Reason during the period beginning three (3) months prior to the date of a Change in Control and ending twelve (12) months following the date of a Change in Control, then the Severance Period shall be twenty-four (24) months following the termination of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            </w:t>
      </w:r>
      <w:r>
        <w:rPr>
          <w:rFonts w:ascii="Times New Roman;Times;Serif" w:hAnsi="Times New Roman;Times;Serif"/>
          <w:b/>
          <w:i/>
          <w:caps w:val="false"/>
          <w:smallCaps w:val="false"/>
          <w:sz w:val="20"/>
          <w:u w:val="single"/>
        </w:rPr>
        <w:t>COBRA Continuation</w:t>
      </w:r>
      <w:r>
        <w:rPr>
          <w:rFonts w:ascii="Times New Roman;Times;Serif" w:hAnsi="Times New Roman;Times;Serif"/>
          <w:b w:val="false"/>
          <w:i w:val="false"/>
          <w:caps w:val="false"/>
          <w:smallCaps w:val="false"/>
          <w:sz w:val="20"/>
        </w:rPr>
        <w:t>. Provided the Executive timely elects COBRA coverage, the Company shall pay Executive’s COBRA premiums at the same level of coverage (e.g., employee only or family coverage, and HMO or PPO) Executive had in effect under the group health plans sponsored by the Company immediately prior to the Termination Date. The Company shall pay such COBRA premiums until the earliest of (a) the close of the twelve (12)-month period following the Executive’s Termination Date (the “</w:t>
      </w:r>
      <w:r>
        <w:rPr>
          <w:rFonts w:ascii="Times New Roman;Times;Serif" w:hAnsi="Times New Roman;Times;Serif"/>
          <w:b/>
          <w:i w:val="false"/>
          <w:caps w:val="false"/>
          <w:smallCaps w:val="false"/>
          <w:sz w:val="20"/>
        </w:rPr>
        <w:t>Maximum COBRA Payment Period</w:t>
      </w:r>
      <w:r>
        <w:rPr>
          <w:rFonts w:ascii="Times New Roman;Times;Serif" w:hAnsi="Times New Roman;Times;Serif"/>
          <w:b w:val="false"/>
          <w:i w:val="false"/>
          <w:caps w:val="false"/>
          <w:smallCaps w:val="false"/>
          <w:sz w:val="20"/>
        </w:rPr>
        <w:t>”), (b) the COBRA coverage terminates or expires for the Executive and, if applicable, his 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his 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multiplied by the number of full calendar months that remain in the Maximum COBRA Payment Period at the time such lump sum payment is made.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caps w:val="false"/>
          <w:smallCaps w:val="false"/>
          <w:sz w:val="20"/>
        </w:rPr>
        <w:t>Release Required</w:t>
      </w:r>
      <w:r>
        <w:rPr>
          <w:rFonts w:ascii="Times New Roman;Times;Serif" w:hAnsi="Times New Roman;Times;Serif"/>
          <w:b w:val="false"/>
          <w:i w:val="false"/>
          <w:caps w:val="false"/>
          <w:smallCaps w:val="false"/>
          <w:sz w:val="20"/>
        </w:rPr>
        <w:t xml:space="preserve">. The obligation of the Company to make provide the Severance Payments described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is conditioned on the Executive’s execution and delivery to the Company not later than the forty-fifth (45th) calendar day following the Termination Date a release of claims in substantially the same form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not revoking such release within seven (7) days after such execution and delivery (the “</w:t>
      </w:r>
      <w:r>
        <w:rPr>
          <w:rFonts w:ascii="Times New Roman;Times;Serif" w:hAnsi="Times New Roman;Times;Serif"/>
          <w:b/>
          <w:i w:val="false"/>
          <w:caps w:val="false"/>
          <w:smallCaps w:val="false"/>
          <w:sz w:val="20"/>
        </w:rPr>
        <w:t>Release of Claims</w:t>
      </w:r>
      <w:r>
        <w:rPr>
          <w:rFonts w:ascii="Times New Roman;Times;Serif" w:hAnsi="Times New Roman;Times;Serif"/>
          <w:b w:val="false"/>
          <w:i w:val="false"/>
          <w:caps w:val="false"/>
          <w:smallCaps w:val="false"/>
          <w:sz w:val="20"/>
        </w:rPr>
        <w:t xml:space="preserve">”). In no event will Executive be entitled to duplicate compensation or benefits under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To the extent any payments described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are subject to Code Section 409A, such payments will, except as provided in Section 2(d) and, provided that the Executive complies with this Section 2(c), first become payable on the first regular payroll date for Company executives that occurs on or after the 60th day after the Termination Date, and the first installment of payments described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whichever is applicable, shall include such amounts as would have been paid to or on behalf of the Executive had such payments begun with the first payroll date for Company executives following the Termination Date. In no event will the Executive be entitled to duplicate compensation or benefits under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caps w:val="false"/>
          <w:smallCaps w:val="false"/>
          <w:sz w:val="20"/>
        </w:rPr>
        <w:t>Timing of Payments; 409A</w:t>
      </w:r>
      <w:r>
        <w:rPr>
          <w:rFonts w:ascii="Times New Roman;Times;Serif" w:hAnsi="Times New Roman;Times;Serif"/>
          <w:b w:val="false"/>
          <w:i w:val="false"/>
          <w:caps w:val="false"/>
          <w:smallCaps w:val="false"/>
          <w:sz w:val="20"/>
        </w:rPr>
        <w:t xml:space="preserve">. To the extent that any portion of the payments described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constitutes nonqualified deferred compensation subject to Section 409A, and if at the Termination Date the Executive is a “specified employee” as that term is defined in Section 409A, such portion shall be paid no earlier than six (6) months and one day following the Termination Date. This Agreement shall be interpreted and administered in a manner so that any amount or benefit payable hereunder shall be paid or provided in a manner that is either exempt from or compliant with the requirements Section 409A of the Code and applicable Internal Revenue Service guidance and Treasury Regulations issued thereunder. Nonetheless, the tax treatment of the benefits provided under the Agreement is not warranted or guaranteed. Neither Company nor its directors, officers, employees or advisers shall be held liable for any taxes, interest, penalties or other monetary amounts owed by Executive as a result of the application of Section 409A or any other provision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i/>
          <w:caps w:val="false"/>
          <w:smallCaps w:val="false"/>
          <w:sz w:val="20"/>
        </w:rPr>
        <w:t>Sections 280G/ 4999</w:t>
      </w:r>
      <w:r>
        <w:rPr>
          <w:rFonts w:ascii="Times New Roman;Times;Serif" w:hAnsi="Times New Roman;Times;Serif"/>
          <w:b w:val="false"/>
          <w:i w:val="false"/>
          <w:caps w:val="false"/>
          <w:smallCaps w:val="false"/>
          <w:sz w:val="20"/>
        </w:rPr>
        <w:t>. In the event it is determined that the Executive is entitled to payments and/or benefits under this Agreement or any other amounts in the “nature of compensation” (whether pursuant to this Agreement or any other plan, arrangement, or agreement with the Company or any affiliate, any person whose actions result in a change of ownership or effective control of the Company covered by Section 280G(b)(2) of the Code or any person affiliated with the Company or such person) as a result of such change of ownership or effective control of the Company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 would be subject to the excise tax imposed by Section 4999 of the Code (the “280G Excise Tax”), notwithstanding anything in this Agreement to the contrary, the Company shall cause to be determined, before any amounts of the Payments are paid to the Executive, which of the two following alternative forms of payment would maximize the Executive’s after-tax proceeds: (i) the payment in full of the entire amount of the Payments, or (ii) payment of only a part of the Payments such that the Executive receives the largest possible payment without the imposition of the 280G Excise Tax (the “</w:t>
      </w:r>
      <w:r>
        <w:rPr>
          <w:rFonts w:ascii="Times New Roman;Times;Serif" w:hAnsi="Times New Roman;Times;Serif"/>
          <w:b/>
          <w:i w:val="false"/>
          <w:caps w:val="false"/>
          <w:smallCaps w:val="false"/>
          <w:sz w:val="20"/>
        </w:rPr>
        <w:t>Reduced Amount</w:t>
      </w:r>
      <w:r>
        <w:rPr>
          <w:rFonts w:ascii="Times New Roman;Times;Serif" w:hAnsi="Times New Roman;Times;Serif"/>
          <w:b w:val="false"/>
          <w:i w:val="false"/>
          <w:caps w:val="false"/>
          <w:smallCaps w:val="false"/>
          <w:sz w:val="20"/>
        </w:rPr>
        <w:t xml:space="preserve">”). If it is determined that the Reduced Amount will maximize the Executive’s after-tax proceeds, the Payments shall be reduced to equal the Reduced Amount in the following order: (i) first, by reducing the severance payment to the extent necessary, (ii) second, if necessary, by reducing other Payments that are not subject to the rule described in Treasury Regulation Section 1.280G-1 Q&amp;A 24(c), and (iii) third, if necessary, by reducing other Payments that are subject to the rule described in Treasury Regulation Section 1.280G-1 Q&amp;A 24(c); provided, however, that in each case where amounts are paid in more than one installment, each installment shall be reduced proportionally; and provided, further, that in each case Payments are reduced starting with any Payments that shall be exempt from Section 409A and proceeding to other Payments that are not exempt from Section 409A. Unless the Executive consents in writing to a different methodology, all determinations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made at the Company’s expense by a nationally recognized accounting or consulting firm that is reasonably acceptable to the Executive.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All payments made by the Company under this Agreement shall be reduced by any tax or other amounts required to be withheld by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The Company shall require any corporation, entity, individual or other person who is the successor (whether direct or indirect by purchase, merger, consolidation, reorganization or otherwise) to all or substantially all the business or assets of the Company to assume, whether expressly or by operation of law, all of the obligations of the Company under this Agreement. The Executive may not transfer or assign his rights under this Agreement, except as permitted by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constitutes the entire agreement between the parties with respect to the subject matter herein and supersedes and terminates all prior communications, agreements and understandings, written or oral, with respect thereto including, without limitation, the severance provisions, if any, of any offer letter the Executive may have previously received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Effect on Employment</w:t>
      </w:r>
      <w:r>
        <w:rPr>
          <w:rFonts w:ascii="Times New Roman;Times;Serif" w:hAnsi="Times New Roman;Times;Serif"/>
          <w:b w:val="false"/>
          <w:i w:val="false"/>
          <w:caps w:val="false"/>
          <w:smallCaps w:val="false"/>
          <w:sz w:val="20"/>
        </w:rPr>
        <w:t>. Nothing contained herein will give the Executive any right to Employment with the Company or any of its affiliates or affect the right of the Company or any of its affiliates to discharge or discipline the Executive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Incentive Compensation Recoupment</w:t>
      </w:r>
      <w:r>
        <w:rPr>
          <w:rFonts w:ascii="Times New Roman;Times;Serif" w:hAnsi="Times New Roman;Times;Serif"/>
          <w:b w:val="false"/>
          <w:i w:val="false"/>
          <w:caps w:val="false"/>
          <w:smallCaps w:val="false"/>
          <w:sz w:val="20"/>
        </w:rPr>
        <w:t>. All amounts payable to the Executive under this Agreement shall be subject to the terms and conditions of any incentive compensation recoupment or clawback policy adopted by the Board (as such policy may be amended from time to time), including, without limitation, any policy adopted by the Parent pursuant to Section 10D of the Securities Exchange Act of 1934 and applicable stock exchange listing standards.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an expressly authorized representative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Headings</w:t>
      </w:r>
      <w:r>
        <w:rPr>
          <w:rFonts w:ascii="Times New Roman;Times;Serif" w:hAnsi="Times New Roman;Times;Serif"/>
          <w:b w:val="false"/>
          <w:i w:val="false"/>
          <w:caps w:val="false"/>
          <w:smallCaps w:val="false"/>
          <w:sz w:val="20"/>
        </w:rPr>
        <w:t>. The headings and captions in this Agreement are for convenience only and in no way define or describe the scope or content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Counterparts; Electronic Signatures. This Agreement may be executed in two or more counterparts, each of which shall be deemed an original, and all of which together shall constitute one and the same instrument. Signatures delivered by electronic means (including via PDF, DocuSign or other electronic signature service, or by email transmission of a scanned signature page) shall be deemed to be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all claims or disputes arising out of or based upon this Agreement or relating to the subject matter hereof will be governed by and construed in accordance with the domestic substantive laws of the State of Maryland without giving effect to any choice or conflict of laws provision or rule that would cause the application of the domestic substantive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xml:space="preserve">. Capitalized terms used in this Agreement shall have the meanings set forth either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or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 (i) the Executive’s willful refusal or material failure to perform (other than by reason of Disability), or substantial negligence in the performance of, his duties and responsibilities to the Company or any of its affiliates, or his willful refusal or material failure to follow or carry out any reasonable, lawful, written directive of the Board or of the Chief Executive Officer of the Company acting within the respective scopes of their authority; (ii) the Executive’s willful breach of any material provision of any agreement (including, without limitation, any non-competition, non-solicitation or confidentiality agreement) with the Company or any of its affiliates; (iii) the Executive’s act of dishonesty or fraud that could reasonably be expected to result in, material injury to the Company’s financial condition, reputation, or ability to do business; (iv) the Executive’s breach of fiduciary duty of loyalty owed to the Company; (v) the Executive’s willful breach of any material policy of the Company or an affiliate; or (vi) the Executive’s commission of a felony, or of a crime involving moral turpitude as defined by the laws of the State of Maryland.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(as such term is used in Sections 13(d) and 14(d) of the Securities Exchange Act of 1934, as amended), becomes the “beneficial owner” (as defined in Rule 13d-3 under the Securities Exchange Act of 1934, as amended), directly or indirectly, of securities of the Company representing more than 50% of the total voting power represented by the Company’s then outstanding voting securities (excluding for this purpose any such voting securities held by the Company, or any affiliate, parent or subsidiary of the Company or any employee benefit plan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merger or consolidation of the Company which results in the holders of voting securities of the Company outstanding immediately prior thereto failing to continue to represent (either by remaining outstanding or by being converted into voting securities of the surviving entity) at least 50% of the combined voting power of the voting securities of the Company or such surviving entity outstanding immediately after such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or disposition of all or substantially all of the assets of the Company (or the consummation of any transaction having similar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an event (or series of events) that would otherwise meet the definition of Change in Control under this </w:t>
      </w:r>
      <w:r>
        <w:rPr>
          <w:rFonts w:ascii="Times New Roman;Times;Serif" w:hAnsi="Times New Roman;Times;Serif"/>
          <w:b w:val="false"/>
          <w:i w:val="false"/>
          <w:caps w:val="false"/>
          <w:smallCaps w:val="false"/>
          <w:sz w:val="20"/>
          <w:u w:val="single"/>
        </w:rPr>
        <w:t>Section 19(c)</w:t>
      </w:r>
      <w:r>
        <w:rPr>
          <w:rFonts w:ascii="Times New Roman;Times;Serif" w:hAnsi="Times New Roman;Times;Serif"/>
          <w:b w:val="false"/>
          <w:i w:val="false"/>
          <w:caps w:val="false"/>
          <w:smallCaps w:val="false"/>
          <w:sz w:val="20"/>
        </w:rPr>
        <w:t> will not be deemed to meet such definition unless it also constitutes a “change in control event” as defined in Treasury Regulation § 1.409A-3(i)(5)(i).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Covered Termination</w:t>
      </w:r>
      <w:r>
        <w:rPr>
          <w:rFonts w:ascii="Times New Roman;Times;Serif" w:hAnsi="Times New Roman;Times;Serif"/>
          <w:b w:val="false"/>
          <w:i w:val="false"/>
          <w:caps w:val="false"/>
          <w:smallCaps w:val="false"/>
          <w:sz w:val="20"/>
        </w:rPr>
        <w:t>” means the termination of Executive’s Employment (1) by the Company without Cause (other than due to the Executive’s death or Disability), or (2) by the Executive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mean a physical or mental illness, impairment or infirmity (other than an absence from work on an approved paternity leave) which renders the Executive unable to perform the essential functions of Executive’s position, including Executive’s duties under this Agreement with reasonable accommodation, for at least one hundred and twenty (120) consecutive days or for shorter periods aggregating one hundred and eighty (180) days during any three hundred and sixty-five (365)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Employment</w:t>
      </w:r>
      <w:r>
        <w:rPr>
          <w:rFonts w:ascii="Times New Roman;Times;Serif" w:hAnsi="Times New Roman;Times;Serif"/>
          <w:b w:val="false"/>
          <w:i w:val="false"/>
          <w:caps w:val="false"/>
          <w:smallCaps w:val="false"/>
          <w:sz w:val="20"/>
        </w:rPr>
        <w:t>” means the Executive’s employment with the Company and its subsidiaries and affiliates, as applicable. If the Executive’s employment is with a subsidiary and that entity ceases to be a subsidiary of the Company, the Executive’s Employment will be deemed to have terminated when the entity ceases to be a subsidiary of the Company unless the Executive transfers employment to the Company or one of its remaining subsidiaries. Notwithstanding the foregoing, in construing the provisions of this Agreement,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means (1) a material diminution in the Executive’s authority, duties, or responsibilities without Executive’s consent; (2) a requirement by the Company that the Executive relocate his primary place of Employment by more than twenty-five (25) miles from his primary place of Employment immediately prior to the Change in Control, or a change by the Company in any hybrid work location arrangement without Executive’s consent; (3) a material reduction in the Executive’s Base Salary or a material reduction in the Executive’s on-target Annual Bonus opportunity; or (4) a material breach by the Company of this Agreement. A termination of Employment will not be considered a termination for Good Reason unless (i) the Executive, within thirty (30) business days after the first occurrence of the condition giving rise to Good Reason notifies the Company in writing of his intent to terminate; (ii) the Company fails to cure such condition within thirty (30) days after being so notified; and (iii) the Executive actually terminates Employment no later than ten (10) calendar days after the end of such thirty (30)-day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invention, formula, process, discovery, development, design, innovation or improvement (whether or not patentable or registrable under copyright statutes) made, conceived, or first actually reduced to practice by the Executive solely or jointly with others, during his Employment; provided, however, that, as used in this Agreement, the term “Intellectual Property” shall not apply to any invention that the Executive develops on his own time, without using the equipment, supplies, facilities or trade secret information of the Company or any of its subsidiaries or affiliates, unless such invention relates at the time of conception or reduction to practice of the invention (a) to the business of the Company or any of its subsidiaries or affiliates, (b) to the actual or demonstrably anticipated research or development of the Company or any of its subsidiaries or affiliates or (c) results from any work performed by the Executive for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an estate, a trust and any other entity or organization, other than the Company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effective date of the Executive’s Covered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has been left blank intentionally.]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as a sealed instrument by the Company, by its duly authorized representative, and by the Executive,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89" w:type="dxa"/>
        <w:jc w:val="left"/>
        <w:tblInd w:w="0" w:type="dxa"/>
        <w:tblLayout w:type="fixed"/>
        <w:tblCellMar>
          <w:top w:w="0" w:type="dxa"/>
          <w:left w:w="0" w:type="dxa"/>
          <w:bottom w:w="0" w:type="dxa"/>
          <w:right w:w="0" w:type="dxa"/>
        </w:tblCellMar>
      </w:tblPr>
      <w:tblGrid>
        <w:gridCol w:w="1790"/>
        <w:gridCol w:w="60"/>
        <w:gridCol w:w="553"/>
        <w:gridCol w:w="1986"/>
      </w:tblGrid>
      <w:tr>
        <w:trPr/>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EXECUTIVE:</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COMPANY:</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Supernus Pharmaceuticals, Inc.</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/s/ Jack A. Khattar</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6" w:type="dxa"/>
            <w:tcBorders>
              <w:bottom w:val="single" w:sz="8" w:space="0" w:color="000000"/>
            </w:tcBorders>
            <w:tcMar>
              <w:bottom w:w="28" w:type="dxa"/>
            </w:tcMar>
            <w:vAlign w:val="center"/>
          </w:tcPr>
          <w:p>
            <w:pPr>
              <w:pStyle w:val="TableContents"/>
              <w:bidi w:val="0"/>
              <w:spacing w:before="0" w:after="283"/>
              <w:jc w:val="left"/>
              <w:rPr/>
            </w:pPr>
            <w:r>
              <w:rPr/>
              <w:t>/s/ Timothy C. Dec</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A. Khattar</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C. Dec</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benefits to be provided me in connection with the termination of my employment, as set forth in the Second Amended and Restated Employment Agreement, dated as of August 1, 2026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which are conditioned on my signing this Release of Claims and to which I am not otherwise entitled, and for other good and valuable consideration, the receipt and sufficiency of which is hereby acknowledged, I, on my own behalf and on behalf of my heirs, executives, administrators, beneficiaries, representatives and assigns, and all others connected with me, hereby release and forever discharge Supernus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Supernus, Inc. (the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the Company’s and Parent’s respective subsidiaries and other affiliates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”),and all of their respective past, present and future officers, directors, trustees, shareholders, employees, agents, plans and plan fiduciaries, insurers, general and limited partners, members, managers, joint venturers, representatives, successors and assigns, and all others connected with any of them, both individually and in their official capacities, from any and all causes of action, rights and claims of any type or description, known or unknown, which I have had in the past, now have, or might now have, through the date of my signing of this Release of Claims, in any way resulting from, arising out of or connected with my employment by any member of the Group or the termination of that employment or pursuant to any federal, state or local law, regulation or other requirement (including without limitation the Civil Rights Act of 1964 (including Title VII of that Act), the Equal Pay Act of 1963, the Age Discrimination in Employment Act of 1967 (ADEA), the Americans with Disabilities Act of 1990 (ADA), the Fair Labor Standards Act of 1938 (FLSA), the Family and Medical Leave Act of 1993 (FMLA), the Worker Adjustment and Retraining Notification Act (WARN), the Employee Retirement Income Security Act of 1974 (ERISA), the National Labor Relations Act (NLRA), and the fair employment practices laws of the state or states in which I have been employed by the Company or any of the subsidiaries or other affiliates, each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from the scope of this Release of Claims is (i) any amount owed to me pursuant to the Agreement; (ii) any claim arising under the terms of the Agreement after the effective date of this Release of Claims, (iii) any right of indemnification or contribution that I have pursuant to the Articles of Incorporation or By-Laws of the Company, the Parent, or any member of the Group, and (iv) any non-forfeitable rights to accrued benefits, if any, arising under any applicable employee benefit plans, or any other rights that cannot be waived by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that I have no right to obtain or receive any monetary damages or other relief of any kind as a result of any action or proceeding by me or by anyone else on my behalf regarding any claims covered by the above general release and, to the extent permitted by law, I agree that I will not seek or accept any monetary damages or other relief of any kind in any such action or proceeding. In addition, without limiting the scope of the foregoing, I expressly (i) agree not to be a class representative or be part of a class regarding any action under ERISA, or otherwise to bring an action under ERISA on behalf of a plan or trust for relief for such plan or trust under ERISA, and (ii) to the extent permitted by law, agree not to retain the benefits of any decision, judgment or settlement in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signing this Release of Claims, I acknowledge my understanding that I may not sign it prior to the termination of my employment, but that I may consider the terms of this Release of Claims for up to 21 days (or such longer period as the Company may specify) from the later of the date my employment with the Company terminates or the date I receive this Release of Claims. I also acknowledge that I am advised by the Company and its subsidiaries and other affiliates to seek the advice of an attorney prior to signing this Release of Claims; that I have had sufficient time to consider this Release of Claims, including but not limited to the release of claims under the ADEA, and to consult with an attorney, if I wished to do so, or to consult with any other person of my choosing before signing; and that I am signing this Release of Claims voluntarily and with a full understanding of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acknowledge that, in signing this Release of Claims, I have not relied on any promises or representations, express or implied, that are not set forth expressly in the plan. I understand that I may revoke this Release of Claims at any time within seven days of the date of my signing by written notice to the Chief Financial Officer of the Company and that this Release of Claims will take effect only upon the expiration of such seven-day revocation period and only if I have not timely revoked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Intending to be legally bound, I have signed this Release of Claims under seal as of the date written below.</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085"/>
        <w:gridCol w:w="1250"/>
        <w:gridCol w:w="75"/>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2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A. Khattar</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Signed:</w:t>
            </w:r>
          </w:p>
        </w:tc>
        <w:tc>
          <w:tcPr>
            <w:tcW w:w="12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Second 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30" w:name="tm2622009d1_ex99-1.htm"/>
      <w:bookmarkStart w:id="31" w:name="kstm2622009d1_ex991"/>
      <w:bookmarkEnd w:id="30"/>
      <w:bookmarkEnd w:id="3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Supernus Pharmaceuticals,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Supernus Pharmaceuticals and Indivior Pharmaceuticals to Merge, Creating a Diversified CNS Biopharmaceutical Leader with Significant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Combines highly complementary businesses, with a diversified portfolio of CNS medicines totaling approximately $2.2 billion in combined annual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Enhanced financial position and free cash flow generation enabling greater financial flexibility to pursue internal and external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Combined company expected to benefit from immediate scale and $125 million of expected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annual cost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Combined entity to be named Supernus, Inc. and Jack Khattar to serve as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Companies to host joint conference call at 8:30 a.m. EDT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Rockville, Md., and Richmond, Va., August 3, 2026 </w:t>
      </w:r>
      <w:r>
        <w:rPr>
          <w:rFonts w:ascii="Times New Roman;Times;Serif" w:hAnsi="Times New Roman;Times;Serif"/>
          <w:b w:val="false"/>
          <w:i w:val="false"/>
          <w:caps w:val="false"/>
          <w:smallCaps w:val="false"/>
          <w:sz w:val="20"/>
        </w:rPr>
        <w:t>– Supernus Pharmaceuticals, Inc. (Nasdaq: SUPN) and Indivior Pharmaceuticals, Inc. (Nasdaq: INDV) today announced that they have entered into a definitive agreement to combine in a tax-free all-stock merger of equals transaction to create a leading diversified, central nervous system (CNS) biopharmaceutical company with significant scale. The transaction is expected to generate significant value for stockholders of both companies, realizing $125 million in expected annual cost synergies. The combined entity will be named Supernus, Inc. and will be listed on the Nasdaq Global Market under the ticker symbol “SUPN”. Upon completion of the transaction, Jack Khattar, Supernus Pharmaceuticals President and Chief Executive Officer, will serve as President, Chief Executive Officer and a member of the Board of Directors of the combined company, and Tony Kingsley, a member of Indivior’s Board of Directors, will serve as Board Chair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merger brings together two complementary organizations with a shared vision of improving the lives of people living with central nervous system diseases,” said Jack Khattar, Supernus Pharmaceuticals President and Chief Executive Officer. “With our combined commercial expertise and enhanced capabilities, we are well positioned to drive significant, durable growth across our diversified portfolio of medicines. This transaction also provides us with greater financial flexibility to pursue growth initiatives to potentially accelerate value creation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Under Jack’s leadership, we are excited by the potential of the combination and confident in Supernus’ future,” said Joe Ciaffoni, Indivior Pharmaceuticals Chief Executive Officer. “Bringing our two organizations together is intended to deliver greater value to the patients, healthcare communities, and stockholders we serve. After the closing of the proposed merger, all three phases of the Indivior Action Agenda will have been successfully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 and Financial Rationale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Diversified and scaled portfolio of medicines that treat CNS diseases:</w:t>
            </w:r>
            <w:r>
              <w:rPr/>
              <w:t xml:space="preserve"> The combined company will have a commercial portfolio of 11 differentiated medicines across psychiatry, neurology and addiction, with key growth products currently expected to continue growing well into the 2030s.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Accelerates profitable growth and cash flow generation:</w:t>
            </w:r>
            <w:r>
              <w:rPr/>
              <w:t xml:space="preserve"> The combined company is expected to generate pro forma net revenue of $2.2 billion and pro forma adjusted EBITDA of $888 million</w:t>
            </w:r>
            <w:r>
              <w:rPr>
                <w:position w:val="8"/>
                <w:sz w:val="19"/>
              </w:rPr>
              <w:t>(1)(2)</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Strong financial profile enables increased flexibility and capacity to pursue growth opportunities:</w:t>
            </w:r>
            <w:r>
              <w:rPr/>
              <w:t xml:space="preserve"> The combined company will have a strong balance sheet with net debt of approximately $878 million</w:t>
            </w:r>
            <w:r>
              <w:rPr>
                <w:position w:val="8"/>
                <w:sz w:val="19"/>
              </w:rPr>
              <w:t>(3)</w:t>
            </w:r>
            <w:r>
              <w:rPr/>
              <w:t> and a net leverage ratio of &lt;1x</w:t>
            </w:r>
            <w:r>
              <w:rPr>
                <w:position w:val="8"/>
                <w:sz w:val="19"/>
              </w:rPr>
              <w:t>(4)</w:t>
            </w:r>
            <w:r>
              <w:rPr/>
              <w:t>. The transaction provides the combined company with increased financial flexibility and capacity to pursue additional growth opportunities, including investing in the growth of the combined current commercial portfolio, advancing Supernus Pharmaceuticals’ innovative pipeline programs, and evaluating business development opportunities to expand and enhance the combined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Proven leadership team with a track record of building successful commercial franchises and successfully integrating acquisitions:</w:t>
            </w:r>
            <w:r>
              <w:rPr/>
              <w:t xml:space="preserve"> The transaction brings together experienced teams with successful track records of developing, launching, and commercializing medicines to address significant unmet needs, as well as successfully integrating acquired businesses. In addition, the combined company will have the capabilities to drive innovative internal research and development and execute additional strategic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Governance and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Board is expected to have a total of eight directors, including four directors from Supernus Pharmaceuticals, including Jack Khattar as President and Chief Executive Officer, and four directors from Indivior Pharmaceuticals, including Tony Kingsley as Board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headquarters in Rockville, Md., will serve as the combined company’s global headquarters following completion of the merger. The structure of the leadership team of the combined organizations and the names of all directors will be announced prior to or in conjunction with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which has been unanimously approved by the Boards of Directors of both companies, Supernus Pharmaceuticals stockholders will receive 1.5401 common shares of Indivior Pharmaceuticals for each share of Supernus Pharmaceuticals they own. Indivior Pharmaceuticals stockholders will receive a one-time special cash dividend of $1.0 billion in aggregate immediately prior to closing of the merger. To finance the dividend to Indivior Pharmaceuticals stockholders, the companies have secured a debt commitment of $650 million through a term loan facility provided by Citibank N.A. with the remaining portion to be funded by existing cash on hand of the combined company. Upon the close of the transaction, Indivior Pharmaceuticals stockholders will own approximately 56.5% of the combined company, and Supernus Pharmaceuticals stockholders will own approximately 43.5% of the combined company,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fourth quarter of 2026, subject to approval by stockholders of both companies, regulatory approvals and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separate press releases issued today, Supernus and Indivior will each report financial results for second quarter ended June 30, 2026. The press releases will be available in the Investor Relations sections of the companies' respective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announcement, Supernus and Indivior will host the joint transaction conference call in lieu of their previously scheduled second quarter 2026 earnings conference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 is serving as lead financial advisor to Supernus Pharmaceuticals. Wells Fargo also served as an additional financial advisor to Supernus Pharmaceuticals. Saul Ewing LLP is serving as legal counsel to Supernus Pharmaceuticals and Morgan Lewis UK is serving as legal advisors to Supernus Pharmaceuticals with respect to certain Canadian and European Union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 and Piper Sandler &amp; Co. are serving as joint financial advisors to Indivior and Goodwin Procter LLP is serving as legal counsel to Indivior. Citi also provided financial advice to Indivior, and Citibank, N.A. is providing committed financing in support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the transaction can be found on the Supernus and Indivior websites, which are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Supernus and Indivior will host a joint conference call and webcast presentation today, August 3, 2026, at 8:30 a.m. EDT. A live webcast will be available </w:t>
      </w:r>
      <w:r>
        <w:rPr>
          <w:rFonts w:ascii="Times New Roman;Times;Serif" w:hAnsi="Times New Roman;Times;Serif"/>
          <w:b/>
          <w:i w:val="false"/>
          <w:caps w:val="false"/>
          <w:smallCaps w:val="false"/>
          <w:sz w:val="20"/>
          <w:u w:val="single"/>
        </w:rPr>
        <w:t>here</w:t>
      </w:r>
      <w:r>
        <w:rPr>
          <w:rFonts w:ascii="Times New Roman;Times;Serif" w:hAnsi="Times New Roman;Times;Serif"/>
          <w:b w:val="false"/>
          <w:i w:val="false"/>
          <w:caps w:val="false"/>
          <w:smallCaps w:val="false"/>
          <w:sz w:val="20"/>
        </w:rPr>
        <w:t xml:space="preserve"> or from the Investor Relations section of both companies’ websites at </w:t>
      </w:r>
      <w:r>
        <w:rPr>
          <w:rFonts w:ascii="Times New Roman;Times;Serif" w:hAnsi="Times New Roman;Times;Serif"/>
          <w:b w:val="false"/>
          <w:i w:val="false"/>
          <w:caps w:val="false"/>
          <w:smallCaps w:val="false"/>
          <w:sz w:val="20"/>
          <w:u w:val="single"/>
        </w:rPr>
        <w:t>Supernus Events &amp; Presentations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may also pre-register any time before the call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Once registration is completed, participants will be provided a dial-in number with a personalized conference code to access the call. Please dial in 15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presentation, which will be referenced during the webcast, is also available from the Investor Relations section of both companies'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Supernus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is a biopharmaceutical company focused on developing and commercializing products for the treatment of central nervous system (CNS)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Indivior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to learn more. Connect with Indivior on LinkedIn by visiting </w:t>
      </w:r>
      <w:r>
        <w:rPr>
          <w:rFonts w:ascii="Times New Roman;Times;Serif" w:hAnsi="Times New Roman;Times;Serif"/>
          <w:b w:val="false"/>
          <w:i w:val="false"/>
          <w:caps w:val="false"/>
          <w:smallCaps w:val="false"/>
          <w:sz w:val="20"/>
          <w:u w:val="single"/>
        </w:rPr>
        <w:t>www.linkedin.com/company/Indivior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adjust for non-recurring items and other items representing expenses or income that we believe do not reflect the Companies’ ongoing operations or the adjustment of which may help with the comparison to prior periods. The Companies’ believe their non-GAAP financial measures may be useful to investors to understand each Companies’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Supernus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815"/>
        <w:gridCol w:w="1925"/>
        <w:gridCol w:w="1505"/>
        <w:gridCol w:w="3200"/>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925" w:type="dxa"/>
            <w:tcBorders/>
            <w:vAlign w:val="center"/>
          </w:tcPr>
          <w:p>
            <w:pPr>
              <w:pStyle w:val="TableContents"/>
              <w:bidi w:val="0"/>
              <w:spacing w:before="0" w:after="283"/>
              <w:jc w:val="both"/>
              <w:rPr/>
            </w:pPr>
            <w:r>
              <w:rPr/>
              <w:t>Peter Vozzo</w:t>
            </w:r>
          </w:p>
        </w:tc>
        <w:tc>
          <w:tcPr>
            <w:tcW w:w="1505" w:type="dxa"/>
            <w:tcBorders/>
            <w:vAlign w:val="center"/>
          </w:tcPr>
          <w:p>
            <w:pPr>
              <w:pStyle w:val="TableContents"/>
              <w:bidi w:val="0"/>
              <w:spacing w:before="0" w:after="283"/>
              <w:jc w:val="both"/>
              <w:rPr/>
            </w:pPr>
            <w:r>
              <w:rPr/>
              <w:t>ICR Healthcare</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+1 443 213 0505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peter.vozzo@icrhealthcare.com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Media </w:t>
            </w:r>
          </w:p>
        </w:tc>
        <w:tc>
          <w:tcPr>
            <w:tcW w:w="1925" w:type="dxa"/>
            <w:tcBorders/>
            <w:vAlign w:val="center"/>
          </w:tcPr>
          <w:p>
            <w:pPr>
              <w:pStyle w:val="TableContents"/>
              <w:bidi w:val="0"/>
              <w:spacing w:before="0" w:after="283"/>
              <w:jc w:val="both"/>
              <w:rPr/>
            </w:pPr>
            <w:r>
              <w:rPr/>
              <w:t>Diana Torres-Bixby</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Burson Global</w:t>
            </w:r>
          </w:p>
        </w:tc>
        <w:tc>
          <w:tcPr>
            <w:tcW w:w="32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+1 917 686 0517</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Diana.torres-bixby@bursonglobal.com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Indivior Pharmaceuticals Contacts</w:t>
      </w:r>
    </w:p>
    <w:p>
      <w:pPr>
        <w:pStyle w:val="TextBody"/>
        <w:bidi w:val="0"/>
        <w:spacing w:before="0" w:after="0"/>
        <w:ind w:left="0" w:right="0" w:hanging="0"/>
        <w:jc w:val="left"/>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815"/>
        <w:gridCol w:w="1640"/>
        <w:gridCol w:w="1835"/>
        <w:gridCol w:w="318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Investors</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Jason Thompson</w:t>
            </w:r>
          </w:p>
        </w:tc>
        <w:tc>
          <w:tcPr>
            <w:tcW w:w="1835"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Investor Relations</w:t>
            </w:r>
          </w:p>
          <w:p>
            <w:pPr>
              <w:pStyle w:val="TableContents"/>
              <w:bidi w:val="0"/>
              <w:spacing w:before="0" w:after="0"/>
              <w:ind w:left="55" w:right="0" w:hanging="0"/>
              <w:jc w:val="both"/>
              <w:rPr>
                <w:caps w:val="false"/>
                <w:smallCaps w:val="false"/>
              </w:rPr>
            </w:pPr>
            <w:r>
              <w:rPr>
                <w:caps w:val="false"/>
                <w:smallCaps w:val="false"/>
              </w:rPr>
              <w:t> </w:t>
            </w:r>
          </w:p>
        </w:tc>
        <w:tc>
          <w:tcPr>
            <w:tcW w:w="31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+1 804 402 7123</w:t>
            </w:r>
          </w:p>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jason.thompson@indivior.com</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Cassie France-Kelly</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VP, Communications</w:t>
            </w:r>
          </w:p>
        </w:tc>
        <w:tc>
          <w:tcPr>
            <w:tcW w:w="31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+1 804 594 0836</w:t>
            </w:r>
          </w:p>
          <w:p>
            <w:pPr>
              <w:pStyle w:val="TableContents"/>
              <w:bidi w:val="0"/>
              <w:spacing w:before="0" w:after="0"/>
              <w:ind w:left="0" w:right="0" w:firstLine="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Indiviormediacontacts@indivior.com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9" w:type="dxa"/>
            <w:tcBorders/>
            <w:vAlign w:val="center"/>
          </w:tcPr>
          <w:p>
            <w:pPr>
              <w:pStyle w:val="TableContents"/>
              <w:bidi w:val="0"/>
              <w:spacing w:before="0" w:after="283"/>
              <w:jc w:val="both"/>
              <w:rPr/>
            </w:pPr>
            <w:r>
              <w:rPr/>
              <w:t>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9"/>
        <w:gridCol w:w="9619"/>
      </w:tblGrid>
      <w:tr>
        <w:trPr/>
        <w:tc>
          <w:tcPr>
            <w:tcW w:w="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(2)</w:t>
            </w:r>
          </w:p>
        </w:tc>
        <w:tc>
          <w:tcPr>
            <w:tcW w:w="9619" w:type="dxa"/>
            <w:tcBorders/>
            <w:vAlign w:val="center"/>
          </w:tcPr>
          <w:p>
            <w:pPr>
              <w:pStyle w:val="TableContents"/>
              <w:bidi w:val="0"/>
              <w:spacing w:before="0" w:after="283"/>
              <w:jc w:val="both"/>
              <w:rPr/>
            </w:pPr>
            <w:r>
              <w:rPr/>
              <w:t>Includes expected annual cost synergies of $125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Pro forma net debt reflects reported net debt as of 6/30/26, adjusted for the addition of $650 million of debt assumed to be drawn to fund the dividend and the dividend payment. Pro forma net debt does not reflect transaction costs, financing fees, or costs to achieve synergies.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283"/>
              <w:jc w:val="both"/>
              <w:rPr/>
            </w:pPr>
            <w:r>
              <w:rPr/>
              <w:t>Pro forma net debt (gross debt less cash and cash equivalents) divided by LTM Adjusted EBITDA (Adjusted Operating Earnings), including expected annual cost synergies of at least $125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114312</Words>
  <Characters>621063</Characters>
  <CharactersWithSpaces>745637</CharactersWithSpaces>
  <Paragraphs>4752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