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7021d2_425.htm"/>
      <w:bookmarkStart w:id="1" w:name="kstm2627021d2_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001-35518)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001-35518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23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pPr>
            <w:r>
              <w:rPr/>
              <w:t> </w:t>
            </w:r>
            <w:r>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23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both"/>
              <w:rPr/>
            </w:pPr>
            <w:r>
              <w:rPr/>
              <w:t> </w:t>
            </w:r>
            <w:r>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 </w:t>
            </w:r>
            <w:r>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 </w:t>
            </w:r>
            <w:r>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3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pPr>
            <w:r>
              <w:rPr/>
              <w:t> </w:t>
            </w:r>
            <w:r>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Supernus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 </w:t>
            </w: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23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 </w:t>
            </w:r>
            <w:r>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23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pPr>
            <w:r>
              <w:rPr/>
              <w:t> </w:t>
            </w: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(this “Supplement”) amends and supplements the definitive joint proxy statement/prospectus filed by Supernus Pharmaceuticals, Inc. (“Supernus” or the “Company”) with the Securities and Exchange Commission (the “SEC”) on September 11, 2026 (the “Proxy Statement”), relating to the Agreement and Plan of Merger, dated as of August 1, 2026, by and among Supernus, Indivior Pharmaceuticals, Inc. (“Indivior”) and Artemis Merger Sub Inc. (“Merger Sub”), pursuant to which Merger Sub will merge with and into Supernus, with Supernus surviving as a wholly owned subsidiary of Indivior (the “Merger”), and to the special meeting of Supernus stockholders to be held on October 15, 2026 (the “Supernus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in this Supplement have the meanings given to them in the Proxy Statement. This Supplement should be read in conjunction with the Proxy Statement, which should itself be read in its entirety. Except as specifically supplemented by the information contained in this Supplement, all information set forth in the Proxy Statement remains unchanged. To the extent that information in this Supplement differs from or updates information contained in the Proxy Statement, the information in this Supplement is more current and supersedes the different or inconsistent information contained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of the 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filing of the Proxy Statement, Supernus received demand letters from purported Supernus stockholders (collectively, the “Demand Letters”) and two complaints were filed by purported stockholders of Supernus in the Supreme Court of the State of New York, County of New York (collectively, the “Complaints”). The Demand Letters and Complaints generally allege, among other things, that the Proxy Statement contains certain disclosure deficiencies and/or incomplete information regarding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believes that the claims asserted in the Demand Letters and Complaints are without merit and that no supplemental disclosure to the Proxy Statement is or was required under any applicable law, rule or regulation. Supernus denies that it has violated any law or breached any duty to its stockholders, and denies all of the allegations in the Demand Letters and Complaints. However, solely to eliminate the burden, expense and uncertainty of litigation, to moot disclosure claims asserted in the Demand Letters and Complaints, and to avoid the risk that the Demand Letters or Complaints may delay or otherwise adversely affect the Merger, and without admitting any liability or wrongdoing, Supernus and Indivior have determined to voluntarily supplement the Proxy Statement with the disclosures set forth below (the “Supplemental Disclosures”). Nothing in this supplement shall be deemed an admission of the legal necessity or materiality under any applicable law of any of the Supplemental Disclosures. To the contrary, Supernus and Indivior specifically deny that any additional disclosure is or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Disclosures to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Supplemental Disclosures should be read together with the Proxy Statement, which should be read in its entirety. To the extent the information set forth herein differs from or updates information contained in the Proxy Statement, the information herein supersedes or supplements that information. All page references are to pages in the Proxy Statement, and capitalized terms used but not defined herein have the meanings given to them in the Proxy Statement. New text is indicated in </w:t>
      </w:r>
      <w:r>
        <w:rPr>
          <w:rFonts w:ascii="Times New Roman;Times;Serif" w:hAnsi="Times New Roman;Times;Serif"/>
          <w:b/>
          <w:i w:val="false"/>
          <w:caps w:val="false"/>
          <w:smallCaps w:val="false"/>
          <w:sz w:val="20"/>
          <w:u w:val="single"/>
        </w:rPr>
        <w:t>bold, underlined text</w:t>
      </w:r>
      <w:r>
        <w:rPr>
          <w:rFonts w:ascii="Times New Roman;Times;Serif" w:hAnsi="Times New Roman;Times;Serif"/>
          <w:b w:val="false"/>
          <w:i w:val="false"/>
          <w:caps w:val="false"/>
          <w:smallCaps w:val="false"/>
          <w:sz w:val="20"/>
        </w:rPr>
        <w:t xml:space="preserve"> and, where applicable, deleted text is indicated in </w:t>
      </w:r>
      <w:r>
        <w:rPr>
          <w:rFonts w:ascii="Times New Roman;Times;Serif" w:hAnsi="Times New Roman;Times;Serif"/>
          <w:b/>
          <w:i w:val="false"/>
          <w:caps w:val="false"/>
          <w:smallCaps w:val="false"/>
          <w:strike/>
          <w:sz w:val="20"/>
        </w:rPr>
        <w:t>strikethrough text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Companies Analysis—Supernus,” beginning on page 89 of the Proxy Statement, is amended and supplemented by amending and restating the second sentence of the fourth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Supernus’s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divided by </w:t>
      </w:r>
      <w:r>
        <w:rPr>
          <w:rFonts w:ascii="Times New Roman;Times;Serif" w:hAnsi="Times New Roman;Times;Serif"/>
          <w:b w:val="false"/>
          <w:i w:val="false"/>
          <w:caps w:val="false"/>
          <w:smallCaps w:val="false"/>
          <w:strike/>
          <w:sz w:val="20"/>
        </w:rPr>
        <w:t xml:space="preserve">the number </w:t>
      </w:r>
      <w:r>
        <w:rPr>
          <w:rFonts w:ascii="Times New Roman;Times;Serif" w:hAnsi="Times New Roman;Times;Serif"/>
          <w:b/>
          <w:i w:val="false"/>
          <w:caps w:val="false"/>
          <w:smallCaps w:val="false"/>
          <w:sz w:val="20"/>
          <w:u w:val="single"/>
        </w:rPr>
        <w:t>a range</w:t>
      </w:r>
      <w:r>
        <w:rPr>
          <w:rFonts w:ascii="Times New Roman;Times;Serif" w:hAnsi="Times New Roman;Times;Serif"/>
          <w:b w:val="false"/>
          <w:i w:val="false"/>
          <w:caps w:val="false"/>
          <w:smallCaps w:val="false"/>
          <w:sz w:val="20"/>
        </w:rPr>
        <w:t xml:space="preserve"> of fully diluted shares of Supernus Shares </w:t>
      </w:r>
      <w:r>
        <w:rPr>
          <w:rFonts w:ascii="Times New Roman;Times;Serif" w:hAnsi="Times New Roman;Times;Serif"/>
          <w:b/>
          <w:i w:val="false"/>
          <w:caps w:val="false"/>
          <w:smallCaps w:val="false"/>
          <w:sz w:val="20"/>
          <w:u w:val="single"/>
        </w:rPr>
        <w:t>of approximately 60.3 million to 61.4 million based on 2027E Revenue and approximately 60.3 million to 61.5 million based on 2028E Revenue,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“The Merger—Opinion of Supernus's Financial Advisor—Opinion of Cantor Fitzgerald—Selected Companies Analysis—Indivior,” beginning on page 89 of the Proxy Statement, is amended and supplemented by amending and restating the second sentence of the fourth paragraph thereof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Indivior’s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further reduced the resulting implied equity value by the $1 billion aggregate amount of the Special Dividend and divided by </w:t>
      </w:r>
      <w:r>
        <w:rPr>
          <w:rFonts w:ascii="Times New Roman;Times;Serif" w:hAnsi="Times New Roman;Times;Serif"/>
          <w:b w:val="false"/>
          <w:i w:val="false"/>
          <w:caps w:val="false"/>
          <w:smallCaps w:val="false"/>
          <w:strike/>
          <w:sz w:val="20"/>
        </w:rPr>
        <w:t xml:space="preserve">the number </w:t>
      </w:r>
      <w:r>
        <w:rPr>
          <w:rFonts w:ascii="Times New Roman;Times;Serif" w:hAnsi="Times New Roman;Times;Serif"/>
          <w:b/>
          <w:i w:val="false"/>
          <w:caps w:val="false"/>
          <w:smallCaps w:val="false"/>
          <w:sz w:val="20"/>
          <w:u w:val="single"/>
        </w:rPr>
        <w:t>a 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139.2 million to 139.3 million based on 2027E Revenue and approximately 124.0 million to approximately 139.3 million based on 2028E Revenue,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Fitzgerald—Discounted Cash Flow Analyses—Discounted Cash Flow Analysis—Supernus,” beginning on page 90 of the Proxy Statement, is amended and supplemented by amending and restating the second and third paragraphs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performing this analysis, Cantor calculated a range of equity values for Supernus Shares by (a) discounting to June 30, 2026, using discount rates ranging from 9.5% to 11.5% (reflecting Supernus’s estimated weighted average cost of capital, derived using the Capital Asset Pricing Model and a size premium) and the mid-year convention, (i) the forecasted risk-adjusted, after-tax unlevered free cash flows of Supernus over the forecast period and (ii) an implied terminal value of Supernus, calculated assuming that Supernus’s after-tax unlevered free cash flow would grow or decline in perpetuity after December 31, 2040 at rates ranging from negative 10.0% to positive 3.0%, reflecting Supernus’s management guidance regarding product and indication loss of exclusivities, continued pipeline growth outlook, and the impact from potential competition in the indications, and (b) adjusting for Supernus’s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the estimated present value of certain remaining net operating losses and other tax attributes after 2040.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divided the resulting equity values by the applicable </w:t>
      </w:r>
      <w:r>
        <w:rPr>
          <w:rFonts w:ascii="Times New Roman;Times;Serif" w:hAnsi="Times New Roman;Times;Serif"/>
          <w:b w:val="false"/>
          <w:i w:val="false"/>
          <w:caps w:val="false"/>
          <w:smallCaps w:val="false"/>
          <w:strike/>
          <w:sz w:val="20"/>
        </w:rPr>
        <w:t xml:space="preserve">number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shares of Supernus Shares </w:t>
      </w:r>
      <w:r>
        <w:rPr>
          <w:rFonts w:ascii="Times New Roman;Times;Serif" w:hAnsi="Times New Roman;Times;Serif"/>
          <w:b/>
          <w:i w:val="false"/>
          <w:caps w:val="false"/>
          <w:smallCaps w:val="false"/>
          <w:sz w:val="20"/>
          <w:u w:val="single"/>
        </w:rPr>
        <w:t>of approximately 61.0 million to 61.7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 This analysis indicated an approximate implied per share equity value reference range for Supernus Shares of $50.55 to $59.50.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 Discounted Cash Flow Analyses—Discounted Cash Flow Analysis—Indivior,” beginning on page 91 of the Proxy Statement, is amended and supplemented by amending and restating the second and third paragraphs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performing this analysis, Cantor calculated a range of equity values for Indivior Shares by (a) discounting to June 30, 2026, using discount rates ranging from 8.0% to 10.0% (reflecting Indivior’s estimated weighted average cost of capital, derived using the Capital Asset Pricing Model and a size premium) and the mid-year convention, (i) the forecasted after-tax unlevered free cash flows of Indivior over the forecast period and (ii) an implied terminal value of Indivior, calculated assuming that Indivior’s after-tax unlevered free cash flow would grow or decline in perpetuity after December 31, 2040 at rates ranging from negative 10.0% to positive 3.0%, reflecting Supernus’s management guidance regarding product and indication loss of exclusivity, continued commercial growth outlook, and the impact from potential competition in the indication, and (b) adjusting for Indivior’s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the $1 billion Special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divided the resulting equity values by the applicable </w:t>
      </w:r>
      <w:r>
        <w:rPr>
          <w:rFonts w:ascii="Times New Roman;Times;Serif" w:hAnsi="Times New Roman;Times;Serif"/>
          <w:b w:val="false"/>
          <w:i w:val="false"/>
          <w:caps w:val="false"/>
          <w:smallCaps w:val="false"/>
          <w:strike/>
          <w:sz w:val="20"/>
        </w:rPr>
        <w:t xml:space="preserve">number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124.0 million to 139.3 million, as provided by Supernus’s management and approved for Cator’s use by Supernus’s management</w:t>
      </w:r>
      <w:r>
        <w:rPr>
          <w:rFonts w:ascii="Times New Roman;Times;Serif" w:hAnsi="Times New Roman;Times;Serif"/>
          <w:b w:val="false"/>
          <w:i w:val="false"/>
          <w:caps w:val="false"/>
          <w:smallCaps w:val="false"/>
          <w:sz w:val="20"/>
        </w:rPr>
        <w:t>, determined using the treasury stock method as of July 28, 2026. This analysis indicated an approximate dividend-adjusted implied per share equity value reference range for Indivior Shares of $24.20 to $43.90.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Fitzgerald—Illustrative Contribution Analysis,” beginning on page 91 of the Proxy Statement, is amended and supplemented by amending and restating the third sentence of the first paragraph thereof as follows: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each company’s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$372 million for Supernus and of approximately $249 million for Indivior and debt of $0 million for Supernus and of approximately $500 million for Indivior,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to calculate the implied equity value for each company, and further divided by the number of fully diluted shares </w:t>
      </w:r>
      <w:r>
        <w:rPr>
          <w:rFonts w:ascii="Times New Roman;Times;Serif" w:hAnsi="Times New Roman;Times;Serif"/>
          <w:b/>
          <w:i w:val="false"/>
          <w:caps w:val="false"/>
          <w:smallCaps w:val="false"/>
          <w:sz w:val="20"/>
          <w:u w:val="single"/>
        </w:rPr>
        <w:t>of Supernus Shares of approximately 60.8 million and of Indivior Shares of approximately 124.0 million, as provided by Supernus’s management and approved for Cator’s use by Supernus’s management</w:t>
      </w:r>
      <w:r>
        <w:rPr>
          <w:rFonts w:ascii="Times New Roman;Times;Serif" w:hAnsi="Times New Roman;Times;Serif"/>
          <w:b w:val="false"/>
          <w:i w:val="false"/>
          <w:caps w:val="false"/>
          <w:smallCaps w:val="false"/>
          <w:sz w:val="20"/>
        </w:rPr>
        <w:t xml:space="preserve"> (determined using the treasury stock method)</w:t>
      </w:r>
      <w:r>
        <w:rPr>
          <w:rFonts w:ascii="Times New Roman;Times;Serif" w:hAnsi="Times New Roman;Times;Serif"/>
          <w:b/>
          <w:i w:val="false"/>
          <w:caps w:val="false"/>
          <w:smallCaps w:val="false"/>
          <w:sz w:val="20"/>
          <w:u w:val="single"/>
        </w:rPr>
        <w:t>, in each case</w:t>
      </w:r>
      <w:r>
        <w:rPr>
          <w:rFonts w:ascii="Times New Roman;Times;Serif" w:hAnsi="Times New Roman;Times;Serif"/>
          <w:b w:val="false"/>
          <w:i w:val="false"/>
          <w:caps w:val="false"/>
          <w:smallCaps w:val="false"/>
          <w:sz w:val="20"/>
        </w:rPr>
        <w:t xml:space="preserve"> as of July 28, 2026, to calculate the implied equity value per share for each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9"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Precedent Transactions Analysis—Supernus,” beginning on page 92 of the Proxy Statement, is amended and supplemented by amending and restating the second sentence of the third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Supernus’s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divided by the applicable </w:t>
      </w:r>
      <w:r>
        <w:rPr>
          <w:rFonts w:ascii="Times New Roman;Times;Serif" w:hAnsi="Times New Roman;Times;Serif"/>
          <w:b w:val="false"/>
          <w:i w:val="false"/>
          <w:caps w:val="false"/>
          <w:smallCaps w:val="false"/>
          <w:strike/>
          <w:sz w:val="20"/>
        </w:rPr>
        <w:t xml:space="preserve">number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Supernus Shares </w:t>
      </w:r>
      <w:r>
        <w:rPr>
          <w:rFonts w:ascii="Times New Roman;Times;Serif" w:hAnsi="Times New Roman;Times;Serif"/>
          <w:b/>
          <w:i w:val="false"/>
          <w:caps w:val="false"/>
          <w:smallCaps w:val="false"/>
          <w:sz w:val="20"/>
          <w:u w:val="single"/>
        </w:rPr>
        <w:t>of approximately 61.1 million to 62.1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6.</w:t>
            </w:r>
          </w:p>
        </w:tc>
        <w:tc>
          <w:tcPr>
            <w:tcW w:w="10009"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Precedent Transactions Analysis—Indivior,” beginning on page 92 of the Proxy Statement, is amended and supplemented by amending and restating the second sentence of the second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Indivior’s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further reduced the resulting implied equity value by the $1 billion Special Dividend and divided by the applicable </w:t>
      </w:r>
      <w:r>
        <w:rPr>
          <w:rFonts w:ascii="Times New Roman;Times;Serif" w:hAnsi="Times New Roman;Times;Serif"/>
          <w:b w:val="false"/>
          <w:i w:val="false"/>
          <w:caps w:val="false"/>
          <w:smallCaps w:val="false"/>
          <w:strike/>
          <w:sz w:val="20"/>
        </w:rPr>
        <w:t>number</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124.0 million to 139.3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filed with the SEC on September 11, 2026, a document that serves as a prospectus of Indivior and a definitive joint proxy statement of Indivior and Supernus (the “joint proxy statement/prospectus”). On September 11, 2026, Supernus filed with the SEC the definitive joint proxy statement/prospectus relating to the Merger and the Supernus Special Meeting. Each party has filed other relevant documents with the SEC regarding the proposed transaction. INVESTORS AND SECURITY HOLDERS ARE URGED TO READ THE JOINT PROXY STATEMENT/PROSPECTUS AND OTHER RELEVANT DOCUMENTS FILED WITH THE SEC, BECAUSE THEY CONTAIN IMPORTANT INFORMATION ABOUT THE PROPOSED TRANSACTION. The definitive joint proxy statement/prospectus has been sent to Indivior’s stockholders and Supernus’ stockholders. Investors and securityholders may obtain a free copy of the joint proxy statement/prospectus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are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are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supplement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are contained in the joint proxy statement/prospectus and other relevant materials filed with the SEC regarding the proposed transaction. Investors should read the joint proxy statement/prospectus carefully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There can be no assurance that the proposed merger will in fact be consummated in the manner described or at all. These forward-looking statements speak only as of the date of this supplement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3081</Words>
  <Characters>17685</Characters>
  <CharactersWithSpaces>20735</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