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0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spacing w:lineRule="auto" w:line="288" w:before="10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center"/>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001-35518 </w:t>
      </w:r>
    </w:p>
    <w:p>
      <w:pPr>
        <w:pStyle w:val="TextBody"/>
        <w:spacing w:lineRule="auto" w:line="288" w:before="100" w:after="283"/>
        <w:jc w:val="center"/>
        <w:rPr>
          <w:rFonts w:ascii="Times New Roman;sans-serif" w:hAnsi="Times New Roman;sans-serif"/>
          <w:b/>
          <w:color w:val="000000"/>
          <w:sz w:val="32"/>
        </w:rPr>
      </w:pPr>
      <w:r>
        <w:rPr>
          <w:rFonts w:ascii="Times New Roman;sans-serif" w:hAnsi="Times New Roman;sans-serif"/>
          <w:b/>
          <w:color w:val="000000"/>
          <w:sz w:val="32"/>
        </w:rPr>
        <w:t xml:space="preserve">SUPERNUS PHARMACEUTICALS, INC.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6439" w:type="dxa"/>
        <w:jc w:val="center"/>
        <w:tblInd w:w="0" w:type="dxa"/>
        <w:tblCellMar>
          <w:top w:w="28" w:type="dxa"/>
          <w:left w:w="28" w:type="dxa"/>
          <w:bottom w:w="28" w:type="dxa"/>
          <w:right w:w="28" w:type="dxa"/>
        </w:tblCellMar>
      </w:tblPr>
      <w:tblGrid>
        <w:gridCol w:w="1193"/>
        <w:gridCol w:w="1047"/>
        <w:gridCol w:w="1059"/>
        <w:gridCol w:w="320"/>
        <w:gridCol w:w="320"/>
        <w:gridCol w:w="321"/>
        <w:gridCol w:w="140"/>
        <w:gridCol w:w="140"/>
        <w:gridCol w:w="141"/>
        <w:gridCol w:w="109"/>
        <w:gridCol w:w="481"/>
        <w:gridCol w:w="481"/>
        <w:gridCol w:w="687"/>
      </w:tblGrid>
      <w:tr>
        <w:trPr/>
        <w:tc>
          <w:tcPr>
            <w:tcW w:w="1193"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1059"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687" w:type="dxa"/>
            <w:tcBorders/>
            <w:shd w:fill="auto" w:val="cle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Delaware</w:t>
            </w:r>
          </w:p>
        </w:tc>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20-2590184</w:t>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(State or other jurisdiction of</w:t>
              <w:br/>
              <w:t>incorporation or organization)</w:t>
            </w:r>
          </w:p>
        </w:tc>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(I.R.S. Employer</w:t>
              <w:br/>
              <w:t>Identification No.)</w:t>
            </w:r>
          </w:p>
        </w:tc>
      </w:tr>
      <w:tr>
        <w:trPr/>
        <w:tc>
          <w:tcPr>
            <w:tcW w:w="32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9715 Key West Avenue </w:t>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Rockville </w:t>
            </w:r>
          </w:p>
        </w:tc>
        <w:tc>
          <w:tcPr>
            <w:tcW w:w="4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MD</w:t>
            </w:r>
          </w:p>
        </w:tc>
        <w:tc>
          <w:tcPr>
            <w:tcW w:w="109" w:type="dxa"/>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9"/>
              </w:rPr>
            </w:pPr>
            <w:r>
              <w:rPr>
                <w:rFonts w:ascii="Times New Roman;sans-serif" w:hAnsi="Times New Roman;sans-serif"/>
                <w:b/>
                <w:color w:val="000000"/>
                <w:sz w:val="19"/>
              </w:rPr>
              <w:t>20850</w:t>
            </w:r>
          </w:p>
        </w:tc>
      </w:tr>
      <w:tr>
        <w:trPr/>
        <w:tc>
          <w:tcPr>
            <w:tcW w:w="32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(Address of principal executive offices)</w:t>
            </w:r>
          </w:p>
        </w:tc>
        <w:tc>
          <w:tcPr>
            <w:tcW w:w="9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9"/>
              </w:rPr>
            </w:pPr>
            <w:r>
              <w:rPr>
                <w:rFonts w:ascii="Times New Roman;sans-serif" w:hAnsi="Times New Roman;sans-serif"/>
                <w:b w:val="false"/>
                <w:color w:val="000000"/>
                <w:sz w:val="19"/>
              </w:rPr>
              <w:t>(Zip Code)</w:t>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(301) 838-2500 </w:t>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spacing w:lineRule="auto" w:line="288" w:before="60" w:after="283"/>
        <w:ind w:left="0" w:right="0" w:firstLine="36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spacing w:lineRule="auto" w:line="288" w:before="1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p>
    <w:p>
      <w:pPr>
        <w:pStyle w:val="TextBody"/>
        <w:spacing w:lineRule="auto" w:line="288" w:before="100" w:after="283"/>
        <w:rPr/>
      </w:pPr>
      <w:r>
        <w:rPr>
          <w:color w:val="000000"/>
        </w:rPr>
        <w:t xml:space="preserve">☒ </w:t>
      </w:r>
      <w:r>
        <w:rPr>
          <w:rFonts w:ascii="Times New Roman;sans-serif" w:hAnsi="Times New Roman;sans-serif"/>
          <w:b w:val="false"/>
          <w:color w:val="000000"/>
          <w:sz w:val="20"/>
        </w:rPr>
        <w:t xml:space="preserve">Yes No </w:t>
      </w:r>
      <w:r>
        <w:rPr>
          <w:color w:val="000000"/>
        </w:rPr>
        <w:t>☐</w:t>
      </w:r>
    </w:p>
    <w:p>
      <w:pPr>
        <w:pStyle w:val="TextBody"/>
        <w:spacing w:lineRule="auto" w:line="288" w:before="10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82" w:type="dxa"/>
        <w:jc w:val="left"/>
        <w:tblInd w:w="0" w:type="dxa"/>
        <w:tblCellMar>
          <w:top w:w="28" w:type="dxa"/>
          <w:left w:w="28" w:type="dxa"/>
          <w:bottom w:w="28" w:type="dxa"/>
          <w:right w:w="28" w:type="dxa"/>
        </w:tblCellMar>
      </w:tblPr>
      <w:tblGrid>
        <w:gridCol w:w="695"/>
        <w:gridCol w:w="611"/>
        <w:gridCol w:w="613"/>
        <w:gridCol w:w="109"/>
        <w:gridCol w:w="109"/>
        <w:gridCol w:w="109"/>
        <w:gridCol w:w="109"/>
        <w:gridCol w:w="784"/>
        <w:gridCol w:w="784"/>
        <w:gridCol w:w="787"/>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Accelerated filer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09" w:type="dxa"/>
            <w:tcBorders/>
            <w:shd w:fill="auto" w:val="cle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r>
    </w:tbl>
    <w:p>
      <w:pPr>
        <w:pStyle w:val="TextBody"/>
        <w:spacing w:lineRule="auto" w:line="288" w:before="100" w:after="283"/>
        <w:ind w:left="0" w:right="0" w:firstLine="36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p>
      <w:pPr>
        <w:pStyle w:val="TextBody"/>
        <w:spacing w:lineRule="auto" w:line="288" w:before="100" w:after="283"/>
        <w:ind w:left="0" w:right="0" w:firstLine="360"/>
        <w:rPr/>
      </w:pPr>
      <w:r>
        <w:rPr>
          <w:rFonts w:ascii="Times New Roman;sans-serif" w:hAnsi="Times New Roman;sans-serif"/>
          <w:b w:val="false"/>
          <w:color w:val="000000"/>
          <w:sz w:val="20"/>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spacing w:lineRule="auto" w:line="288" w:before="60" w:after="283"/>
        <w:ind w:left="0" w:right="0" w:firstLine="36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Exchange Act</w:t>
      </w:r>
    </w:p>
    <w:tbl>
      <w:tblPr>
        <w:tblW w:w="10205" w:type="dxa"/>
        <w:jc w:val="left"/>
        <w:tblInd w:w="0" w:type="dxa"/>
        <w:tblCellMar>
          <w:top w:w="28" w:type="dxa"/>
          <w:left w:w="28" w:type="dxa"/>
          <w:bottom w:w="28" w:type="dxa"/>
          <w:right w:w="28" w:type="dxa"/>
        </w:tblCellMar>
      </w:tblPr>
      <w:tblGrid>
        <w:gridCol w:w="1034"/>
        <w:gridCol w:w="907"/>
        <w:gridCol w:w="911"/>
        <w:gridCol w:w="109"/>
        <w:gridCol w:w="109"/>
        <w:gridCol w:w="109"/>
        <w:gridCol w:w="599"/>
        <w:gridCol w:w="588"/>
        <w:gridCol w:w="590"/>
        <w:gridCol w:w="109"/>
        <w:gridCol w:w="109"/>
        <w:gridCol w:w="109"/>
        <w:gridCol w:w="425"/>
        <w:gridCol w:w="425"/>
        <w:gridCol w:w="426"/>
        <w:gridCol w:w="109"/>
        <w:gridCol w:w="109"/>
        <w:gridCol w:w="109"/>
        <w:gridCol w:w="971"/>
        <w:gridCol w:w="971"/>
        <w:gridCol w:w="1377"/>
      </w:tblGrid>
      <w:tr>
        <w:trPr/>
        <w:tc>
          <w:tcPr>
            <w:tcW w:w="1034" w:type="dxa"/>
            <w:tcBorders/>
            <w:shd w:fill="auto" w:val="clear"/>
            <w:vAlign w:val="center"/>
          </w:tcPr>
          <w:p>
            <w:pPr>
              <w:pStyle w:val="TableContents"/>
              <w:spacing w:before="0" w:after="283"/>
              <w:rPr>
                <w:sz w:val="4"/>
                <w:szCs w:val="4"/>
              </w:rPr>
            </w:pPr>
            <w:r>
              <w:rPr>
                <w:sz w:val="4"/>
                <w:szCs w:val="4"/>
              </w:rPr>
            </w:r>
          </w:p>
        </w:tc>
        <w:tc>
          <w:tcPr>
            <w:tcW w:w="907"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1377" w:type="dxa"/>
            <w:tcBorders/>
            <w:shd w:fill="auto" w:val="clear"/>
            <w:vAlign w:val="center"/>
          </w:tcPr>
          <w:p>
            <w:pPr>
              <w:pStyle w:val="TableContents"/>
              <w:spacing w:before="0" w:after="283"/>
              <w:rPr>
                <w:sz w:val="4"/>
                <w:szCs w:val="4"/>
              </w:rPr>
            </w:pPr>
            <w:r>
              <w:rPr>
                <w:sz w:val="4"/>
                <w:szCs w:val="4"/>
              </w:rPr>
            </w:r>
          </w:p>
        </w:tc>
      </w:tr>
      <w:tr>
        <w:trPr/>
        <w:tc>
          <w:tcPr>
            <w:tcW w:w="285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Outstanding at May 3,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8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54,476,409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SUPN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Global Market</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46685"/>
                <wp:effectExtent l="0" t="0" r="0" b="0"/>
                <wp:wrapNone/>
                <wp:docPr id="1" name="Frame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 — QUARTERLY REPORT</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tbl>
      <w:tblPr>
        <w:tblW w:w="8790" w:type="dxa"/>
        <w:jc w:val="center"/>
        <w:tblInd w:w="0" w:type="dxa"/>
        <w:tblCellMar>
          <w:top w:w="28" w:type="dxa"/>
          <w:left w:w="28" w:type="dxa"/>
          <w:bottom w:w="28" w:type="dxa"/>
          <w:right w:w="28" w:type="dxa"/>
        </w:tblCellMar>
      </w:tblPr>
      <w:tblGrid>
        <w:gridCol w:w="2889"/>
        <w:gridCol w:w="2543"/>
        <w:gridCol w:w="2547"/>
        <w:gridCol w:w="237"/>
        <w:gridCol w:w="237"/>
        <w:gridCol w:w="337"/>
      </w:tblGrid>
      <w:tr>
        <w:trPr/>
        <w:tc>
          <w:tcPr>
            <w:tcW w:w="2889" w:type="dxa"/>
            <w:tcBorders/>
            <w:shd w:fill="auto" w:val="clear"/>
            <w:vAlign w:val="center"/>
          </w:tcPr>
          <w:p>
            <w:pPr>
              <w:pStyle w:val="TableContents"/>
              <w:spacing w:before="0" w:after="283"/>
              <w:rPr>
                <w:sz w:val="4"/>
                <w:szCs w:val="4"/>
              </w:rPr>
            </w:pPr>
            <w:r>
              <w:rPr>
                <w:sz w:val="4"/>
                <w:szCs w:val="4"/>
              </w:rPr>
            </w:r>
          </w:p>
        </w:tc>
        <w:tc>
          <w:tcPr>
            <w:tcW w:w="2543" w:type="dxa"/>
            <w:tcBorders/>
            <w:shd w:fill="auto" w:val="clear"/>
            <w:vAlign w:val="center"/>
          </w:tcPr>
          <w:p>
            <w:pPr>
              <w:pStyle w:val="TableContents"/>
              <w:spacing w:before="0" w:after="283"/>
              <w:rPr>
                <w:sz w:val="4"/>
                <w:szCs w:val="4"/>
              </w:rPr>
            </w:pPr>
            <w:r>
              <w:rPr>
                <w:sz w:val="4"/>
                <w:szCs w:val="4"/>
              </w:rPr>
            </w:r>
          </w:p>
        </w:tc>
        <w:tc>
          <w:tcPr>
            <w:tcW w:w="254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 No.</w:t>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ba2c20553a044fa81db52e43213d19a_10">
              <w:r>
                <w:rPr>
                  <w:rStyle w:val="InternetLink"/>
                  <w:rFonts w:ascii="Times New Roman;sans-serif" w:hAnsi="Times New Roman;sans-serif"/>
                  <w:b w:val="false"/>
                  <w:color w:val="0000FF"/>
                  <w:sz w:val="20"/>
                  <w:u w:val="single"/>
                </w:rPr>
                <w:t>PART I — FINANCIAL INFORMATION</w:t>
              </w:r>
            </w:hyperlink>
          </w:p>
        </w:tc>
        <w:tc>
          <w:tcPr>
            <w:tcW w:w="81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ba2c20553a044fa81db52e43213d19a_13">
              <w:r>
                <w:rPr>
                  <w:rStyle w:val="InternetLink"/>
                  <w:rFonts w:ascii="Times New Roman;sans-serif" w:hAnsi="Times New Roman;sans-serif"/>
                  <w:b w:val="false"/>
                  <w:strike w:val="false"/>
                  <w:dstrike w:val="false"/>
                  <w:color w:val="0000FF"/>
                  <w:sz w:val="20"/>
                  <w:u w:val="none"/>
                  <w:effect w:val="none"/>
                </w:rPr>
                <w:t>Item 1. Unaudited Condensed Consolidated Financial Statements</w:t>
              </w:r>
            </w:hyperlink>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ba2c20553a044fa81db52e43213d19a_16">
              <w:r>
                <w:rPr>
                  <w:rStyle w:val="InternetLink"/>
                  <w:rFonts w:ascii="Times New Roman;sans-serif" w:hAnsi="Times New Roman;sans-serif"/>
                  <w:b w:val="false"/>
                  <w:color w:val="0000FF"/>
                  <w:sz w:val="20"/>
                  <w:u w:val="single"/>
                </w:rPr>
                <w:t>Condensed Consolidated Balance Sheets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a2c20553a044fa81db52e43213d19a_16">
              <w:r>
                <w:rPr>
                  <w:rStyle w:val="InternetLink"/>
                  <w:rFonts w:ascii="Times New Roman;sans-serif" w:hAnsi="Times New Roman;sans-serif"/>
                  <w:b w:val="false"/>
                  <w:strike w:val="false"/>
                  <w:dstrike w:val="false"/>
                  <w:color w:val="1E39C6"/>
                  <w:sz w:val="20"/>
                  <w:u w:val="none"/>
                  <w:effect w:val="none"/>
                </w:rPr>
                <w:t>3</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ba2c20553a044fa81db52e43213d19a_19">
              <w:r>
                <w:rPr>
                  <w:rStyle w:val="InternetLink"/>
                  <w:rFonts w:ascii="Times New Roman;sans-serif" w:hAnsi="Times New Roman;sans-serif"/>
                  <w:b w:val="false"/>
                  <w:color w:val="0000FF"/>
                  <w:sz w:val="20"/>
                  <w:u w:val="single"/>
                </w:rPr>
                <w:t xml:space="preserve">Condensed Consolidated Statements of Earnings </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a2c20553a044fa81db52e43213d19a_19">
              <w:r>
                <w:rPr>
                  <w:rStyle w:val="InternetLink"/>
                  <w:rFonts w:ascii="Times New Roman;sans-serif" w:hAnsi="Times New Roman;sans-serif"/>
                  <w:b w:val="false"/>
                  <w:strike w:val="false"/>
                  <w:dstrike w:val="false"/>
                  <w:color w:val="0000FF"/>
                  <w:sz w:val="20"/>
                  <w:u w:val="none"/>
                  <w:effect w:val="none"/>
                </w:rPr>
                <w:t>4</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ba2c20553a044fa81db52e43213d19a_22">
              <w:r>
                <w:rPr>
                  <w:rStyle w:val="InternetLink"/>
                  <w:rFonts w:ascii="Times New Roman;sans-serif" w:hAnsi="Times New Roman;sans-serif"/>
                  <w:b w:val="false"/>
                  <w:color w:val="0000FF"/>
                  <w:sz w:val="20"/>
                  <w:u w:val="single"/>
                </w:rPr>
                <w:t xml:space="preserve">Condensed Consolidated Statements of Comprehensive Earnings </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a2c20553a044fa81db52e43213d19a_22">
              <w:r>
                <w:rPr>
                  <w:rStyle w:val="InternetLink"/>
                  <w:rFonts w:ascii="Times New Roman;sans-serif" w:hAnsi="Times New Roman;sans-serif"/>
                  <w:b w:val="false"/>
                  <w:strike w:val="false"/>
                  <w:dstrike w:val="false"/>
                  <w:color w:val="0000FF"/>
                  <w:sz w:val="20"/>
                  <w:u w:val="none"/>
                  <w:effect w:val="none"/>
                </w:rPr>
                <w:t>5</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ba2c20553a044fa81db52e43213d19a_25">
              <w:r>
                <w:rPr>
                  <w:rStyle w:val="InternetLink"/>
                  <w:rFonts w:ascii="Times New Roman;sans-serif" w:hAnsi="Times New Roman;sans-serif"/>
                  <w:b w:val="false"/>
                  <w:color w:val="0000FF"/>
                  <w:sz w:val="20"/>
                  <w:u w:val="single"/>
                </w:rPr>
                <w:t>Condensed Consolidated Statements of Changes in Stockholders' Equity</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a2c20553a044fa81db52e43213d19a_25">
              <w:r>
                <w:rPr>
                  <w:rStyle w:val="InternetLink"/>
                  <w:rFonts w:ascii="Times New Roman;sans-serif" w:hAnsi="Times New Roman;sans-serif"/>
                  <w:b w:val="false"/>
                  <w:strike w:val="false"/>
                  <w:dstrike w:val="false"/>
                  <w:color w:val="0000FF"/>
                  <w:sz w:val="20"/>
                  <w:u w:val="none"/>
                  <w:effect w:val="none"/>
                </w:rPr>
                <w:t>6</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ba2c20553a044fa81db52e43213d19a_28">
              <w:r>
                <w:rPr>
                  <w:rStyle w:val="InternetLink"/>
                  <w:rFonts w:ascii="Times New Roman;sans-serif" w:hAnsi="Times New Roman;sans-serif"/>
                  <w:b w:val="false"/>
                  <w:color w:val="0000FF"/>
                  <w:sz w:val="20"/>
                  <w:u w:val="single"/>
                </w:rPr>
                <w:t>Condensed Consolidated Statements of Cash Flows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a2c20553a044fa81db52e43213d19a_28">
              <w:r>
                <w:rPr>
                  <w:rStyle w:val="InternetLink"/>
                  <w:rFonts w:ascii="Times New Roman;sans-serif" w:hAnsi="Times New Roman;sans-serif"/>
                  <w:b w:val="false"/>
                  <w:strike w:val="false"/>
                  <w:dstrike w:val="false"/>
                  <w:color w:val="0000FF"/>
                  <w:sz w:val="20"/>
                  <w:u w:val="none"/>
                  <w:effect w:val="none"/>
                </w:rPr>
                <w:t>7</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ba2c20553a044fa81db52e43213d19a_31">
              <w:r>
                <w:rPr>
                  <w:rStyle w:val="InternetLink"/>
                  <w:rFonts w:ascii="Times New Roman;sans-serif" w:hAnsi="Times New Roman;sans-serif"/>
                  <w:b w:val="false"/>
                  <w:color w:val="0000FF"/>
                  <w:sz w:val="20"/>
                  <w:u w:val="single"/>
                </w:rPr>
                <w:t>Notes to Condensed Consolidated Financial Statements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a2c20553a044fa81db52e43213d19a_31">
              <w:r>
                <w:rPr>
                  <w:rStyle w:val="InternetLink"/>
                  <w:rFonts w:ascii="Times New Roman;sans-serif" w:hAnsi="Times New Roman;sans-serif"/>
                  <w:b w:val="false"/>
                  <w:strike w:val="false"/>
                  <w:dstrike w:val="false"/>
                  <w:color w:val="0000FF"/>
                  <w:sz w:val="20"/>
                  <w:u w:val="none"/>
                  <w:effect w:val="none"/>
                </w:rPr>
                <w:t>8</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ba2c20553a044fa81db52e43213d19a_106">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a2c20553a044fa81db52e43213d19a_106">
              <w:r>
                <w:rPr>
                  <w:rStyle w:val="InternetLink"/>
                  <w:rFonts w:ascii="Times New Roman;sans-serif" w:hAnsi="Times New Roman;sans-serif"/>
                  <w:b w:val="false"/>
                  <w:strike w:val="false"/>
                  <w:dstrike w:val="false"/>
                  <w:color w:val="0000FF"/>
                  <w:sz w:val="20"/>
                  <w:u w:val="none"/>
                  <w:effect w:val="none"/>
                </w:rPr>
                <w:t>26</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ba2c20553a044fa81db52e43213d19a_124">
              <w:r>
                <w:rPr>
                  <w:rStyle w:val="InternetLink"/>
                  <w:rFonts w:ascii="Times New Roman;sans-serif" w:hAnsi="Times New Roman;sans-serif"/>
                  <w:b w:val="false"/>
                  <w:color w:val="0000FF"/>
                  <w:sz w:val="20"/>
                  <w:u w:val="single"/>
                </w:rPr>
                <w:t>Item 3. Quantitative and Qualitative Disclosures about Market Risk</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a2c20553a044fa81db52e43213d19a_124">
              <w:r>
                <w:rPr>
                  <w:rStyle w:val="InternetLink"/>
                  <w:rFonts w:ascii="Times New Roman;sans-serif" w:hAnsi="Times New Roman;sans-serif"/>
                  <w:b w:val="false"/>
                  <w:strike w:val="false"/>
                  <w:dstrike w:val="false"/>
                  <w:color w:val="0000FF"/>
                  <w:sz w:val="20"/>
                  <w:u w:val="none"/>
                  <w:effect w:val="none"/>
                </w:rPr>
                <w:t>34</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ba2c20553a044fa81db52e43213d19a_127">
              <w:r>
                <w:rPr>
                  <w:rStyle w:val="InternetLink"/>
                  <w:rFonts w:ascii="Times New Roman;sans-serif" w:hAnsi="Times New Roman;sans-serif"/>
                  <w:b w:val="false"/>
                  <w:color w:val="0000FF"/>
                  <w:sz w:val="20"/>
                  <w:u w:val="single"/>
                </w:rPr>
                <w:t>Item 4. Controls and Procedures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a2c20553a044fa81db52e43213d19a_127">
              <w:r>
                <w:rPr>
                  <w:rStyle w:val="InternetLink"/>
                  <w:rFonts w:ascii="Times New Roman;sans-serif" w:hAnsi="Times New Roman;sans-serif"/>
                  <w:b w:val="false"/>
                  <w:strike w:val="false"/>
                  <w:dstrike w:val="false"/>
                  <w:color w:val="0000FF"/>
                  <w:sz w:val="20"/>
                  <w:u w:val="none"/>
                  <w:effect w:val="none"/>
                </w:rPr>
                <w:t>35</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ba2c20553a044fa81db52e43213d19a_130">
              <w:r>
                <w:rPr>
                  <w:rStyle w:val="InternetLink"/>
                  <w:rFonts w:ascii="Times New Roman;sans-serif" w:hAnsi="Times New Roman;sans-serif"/>
                  <w:b w:val="false"/>
                  <w:color w:val="0000FF"/>
                  <w:sz w:val="20"/>
                  <w:u w:val="single"/>
                </w:rPr>
                <w:t>PART II — OTHER INFORMATION</w:t>
              </w:r>
            </w:hyperlink>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ba2c20553a044fa81db52e43213d19a_133">
              <w:r>
                <w:rPr>
                  <w:rStyle w:val="InternetLink"/>
                  <w:rFonts w:ascii="Times New Roman;sans-serif" w:hAnsi="Times New Roman;sans-serif"/>
                  <w:b w:val="false"/>
                  <w:color w:val="0000FF"/>
                  <w:sz w:val="20"/>
                  <w:u w:val="single"/>
                </w:rPr>
                <w:t>Item 1. Legal Proceedings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a2c20553a044fa81db52e43213d19a_133">
              <w:r>
                <w:rPr>
                  <w:rStyle w:val="InternetLink"/>
                  <w:rFonts w:ascii="Times New Roman;sans-serif" w:hAnsi="Times New Roman;sans-serif"/>
                  <w:b w:val="false"/>
                  <w:strike w:val="false"/>
                  <w:dstrike w:val="false"/>
                  <w:color w:val="0000FF"/>
                  <w:sz w:val="20"/>
                  <w:u w:val="none"/>
                  <w:effect w:val="none"/>
                </w:rPr>
                <w:t>36</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ba2c20553a044fa81db52e43213d19a_136">
              <w:r>
                <w:rPr>
                  <w:rStyle w:val="InternetLink"/>
                  <w:rFonts w:ascii="Times New Roman;sans-serif" w:hAnsi="Times New Roman;sans-serif"/>
                  <w:b w:val="false"/>
                  <w:color w:val="0000FF"/>
                  <w:sz w:val="20"/>
                  <w:u w:val="single"/>
                </w:rPr>
                <w:t>Item 1A. Risk Factors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a2c20553a044fa81db52e43213d19a_136">
              <w:r>
                <w:rPr>
                  <w:rStyle w:val="InternetLink"/>
                  <w:rFonts w:ascii="Times New Roman;sans-serif" w:hAnsi="Times New Roman;sans-serif"/>
                  <w:b w:val="false"/>
                  <w:strike w:val="false"/>
                  <w:dstrike w:val="false"/>
                  <w:color w:val="0000FF"/>
                  <w:sz w:val="20"/>
                  <w:u w:val="none"/>
                  <w:effect w:val="none"/>
                </w:rPr>
                <w:t>42</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ba2c20553a044fa81db52e43213d19a_139">
              <w:r>
                <w:rPr>
                  <w:rStyle w:val="InternetLink"/>
                  <w:rFonts w:ascii="Times New Roman;sans-serif" w:hAnsi="Times New Roman;sans-serif"/>
                  <w:b w:val="false"/>
                  <w:color w:val="0000FF"/>
                  <w:sz w:val="20"/>
                  <w:u w:val="single"/>
                </w:rPr>
                <w:t>Item 2. Unregistered Sales of Equity Securities and Use of Proceeds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a2c20553a044fa81db52e43213d19a_139">
              <w:r>
                <w:rPr>
                  <w:rStyle w:val="InternetLink"/>
                  <w:rFonts w:ascii="Times New Roman;sans-serif" w:hAnsi="Times New Roman;sans-serif"/>
                  <w:b w:val="false"/>
                  <w:strike w:val="false"/>
                  <w:dstrike w:val="false"/>
                  <w:color w:val="0000FF"/>
                  <w:sz w:val="20"/>
                  <w:u w:val="none"/>
                  <w:effect w:val="none"/>
                </w:rPr>
                <w:t>42</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ba2c20553a044fa81db52e43213d19a_142">
              <w:r>
                <w:rPr>
                  <w:rStyle w:val="InternetLink"/>
                  <w:rFonts w:ascii="Times New Roman;sans-serif" w:hAnsi="Times New Roman;sans-serif"/>
                  <w:b w:val="false"/>
                  <w:color w:val="0000FF"/>
                  <w:sz w:val="20"/>
                  <w:u w:val="single"/>
                </w:rPr>
                <w:t>Item 3. Defaults Upon Senior Securities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a2c20553a044fa81db52e43213d19a_142">
              <w:r>
                <w:rPr>
                  <w:rStyle w:val="InternetLink"/>
                  <w:rFonts w:ascii="Times New Roman;sans-serif" w:hAnsi="Times New Roman;sans-serif"/>
                  <w:b w:val="false"/>
                  <w:strike w:val="false"/>
                  <w:dstrike w:val="false"/>
                  <w:color w:val="0000FF"/>
                  <w:sz w:val="20"/>
                  <w:u w:val="none"/>
                  <w:effect w:val="none"/>
                </w:rPr>
                <w:t>42</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ba2c20553a044fa81db52e43213d19a_145">
              <w:r>
                <w:rPr>
                  <w:rStyle w:val="InternetLink"/>
                  <w:rFonts w:ascii="Times New Roman;sans-serif" w:hAnsi="Times New Roman;sans-serif"/>
                  <w:b w:val="false"/>
                  <w:color w:val="0000FF"/>
                  <w:sz w:val="20"/>
                  <w:u w:val="single"/>
                </w:rPr>
                <w:t>Item 4. Mine Safety Disclosures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a2c20553a044fa81db52e43213d19a_145">
              <w:r>
                <w:rPr>
                  <w:rStyle w:val="InternetLink"/>
                  <w:rFonts w:ascii="Times New Roman;sans-serif" w:hAnsi="Times New Roman;sans-serif"/>
                  <w:b w:val="false"/>
                  <w:strike w:val="false"/>
                  <w:dstrike w:val="false"/>
                  <w:color w:val="0000FF"/>
                  <w:sz w:val="20"/>
                  <w:u w:val="none"/>
                  <w:effect w:val="none"/>
                </w:rPr>
                <w:t>42</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ba2c20553a044fa81db52e43213d19a_148">
              <w:r>
                <w:rPr>
                  <w:rStyle w:val="InternetLink"/>
                  <w:rFonts w:ascii="Times New Roman;sans-serif" w:hAnsi="Times New Roman;sans-serif"/>
                  <w:b w:val="false"/>
                  <w:color w:val="0000FF"/>
                  <w:sz w:val="20"/>
                  <w:u w:val="single"/>
                </w:rPr>
                <w:t>Item 5. Other Information</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a2c20553a044fa81db52e43213d19a_148">
              <w:r>
                <w:rPr>
                  <w:rStyle w:val="InternetLink"/>
                  <w:rFonts w:ascii="Times New Roman;sans-serif" w:hAnsi="Times New Roman;sans-serif"/>
                  <w:b w:val="false"/>
                  <w:strike w:val="false"/>
                  <w:dstrike w:val="false"/>
                  <w:color w:val="0000FF"/>
                  <w:sz w:val="20"/>
                  <w:u w:val="none"/>
                  <w:effect w:val="none"/>
                </w:rPr>
                <w:t>42</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ba2c20553a044fa81db52e43213d19a_151">
              <w:r>
                <w:rPr>
                  <w:rStyle w:val="InternetLink"/>
                  <w:rFonts w:ascii="Times New Roman;sans-serif" w:hAnsi="Times New Roman;sans-serif"/>
                  <w:b w:val="false"/>
                  <w:color w:val="0000FF"/>
                  <w:sz w:val="20"/>
                  <w:u w:val="single"/>
                </w:rPr>
                <w:t>Item 6. Exhibits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a2c20553a044fa81db52e43213d19a_151">
              <w:r>
                <w:rPr>
                  <w:rStyle w:val="InternetLink"/>
                  <w:rFonts w:ascii="Times New Roman;sans-serif" w:hAnsi="Times New Roman;sans-serif"/>
                  <w:b w:val="false"/>
                  <w:strike w:val="false"/>
                  <w:dstrike w:val="false"/>
                  <w:color w:val="0000FF"/>
                  <w:sz w:val="20"/>
                  <w:u w:val="none"/>
                  <w:effect w:val="none"/>
                </w:rPr>
                <w:t>43</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dba2c20553a044fa81db52e43213d19a_154">
              <w:r>
                <w:rPr>
                  <w:rStyle w:val="InternetLink"/>
                  <w:rFonts w:ascii="Times New Roman;sans-serif" w:hAnsi="Times New Roman;sans-serif"/>
                  <w:b w:val="false"/>
                  <w:color w:val="0000FF"/>
                  <w:sz w:val="20"/>
                  <w:u w:val="single"/>
                </w:rPr>
                <w:t>SIGNATURES</w:t>
              </w:r>
            </w:hyperlink>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dba2c20553a044fa81db52e43213d19a_154">
              <w:r>
                <w:rPr>
                  <w:rStyle w:val="InternetLink"/>
                  <w:rFonts w:ascii="Times New Roman;sans-serif" w:hAnsi="Times New Roman;sans-serif"/>
                  <w:b w:val="false"/>
                  <w:strike w:val="false"/>
                  <w:dstrike w:val="false"/>
                  <w:color w:val="0000FF"/>
                  <w:sz w:val="20"/>
                  <w:u w:val="none"/>
                  <w:effect w:val="none"/>
                </w:rPr>
                <w:t>44</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jc w:val="center"/>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(in thousands, except share data)</w:t>
      </w:r>
    </w:p>
    <w:tbl>
      <w:tblPr>
        <w:tblW w:w="10205" w:type="dxa"/>
        <w:jc w:val="center"/>
        <w:tblInd w:w="0" w:type="dxa"/>
        <w:tblCellMar>
          <w:top w:w="28" w:type="dxa"/>
          <w:left w:w="28" w:type="dxa"/>
          <w:bottom w:w="28" w:type="dxa"/>
          <w:right w:w="28" w:type="dxa"/>
        </w:tblCellMar>
      </w:tblPr>
      <w:tblGrid>
        <w:gridCol w:w="2746"/>
        <w:gridCol w:w="2275"/>
        <w:gridCol w:w="2219"/>
        <w:gridCol w:w="211"/>
        <w:gridCol w:w="976"/>
        <w:gridCol w:w="109"/>
        <w:gridCol w:w="109"/>
        <w:gridCol w:w="109"/>
        <w:gridCol w:w="109"/>
        <w:gridCol w:w="211"/>
        <w:gridCol w:w="976"/>
        <w:gridCol w:w="155"/>
      </w:tblGrid>
      <w:tr>
        <w:trPr/>
        <w:tc>
          <w:tcPr>
            <w:tcW w:w="2746" w:type="dxa"/>
            <w:tcBorders/>
            <w:shd w:fill="auto" w:val="clear"/>
            <w:vAlign w:val="center"/>
          </w:tcPr>
          <w:p>
            <w:pPr>
              <w:pStyle w:val="TableContents"/>
              <w:spacing w:before="0" w:after="283"/>
              <w:rPr>
                <w:sz w:val="4"/>
                <w:szCs w:val="4"/>
              </w:rPr>
            </w:pPr>
            <w:r>
              <w:rPr>
                <w:sz w:val="4"/>
                <w:szCs w:val="4"/>
              </w:rPr>
            </w:r>
          </w:p>
        </w:tc>
        <w:tc>
          <w:tcPr>
            <w:tcW w:w="2275" w:type="dxa"/>
            <w:tcBorders/>
            <w:shd w:fill="auto" w:val="clear"/>
            <w:vAlign w:val="center"/>
          </w:tcPr>
          <w:p>
            <w:pPr>
              <w:pStyle w:val="TableContents"/>
              <w:spacing w:before="0" w:after="283"/>
              <w:rPr>
                <w:sz w:val="4"/>
                <w:szCs w:val="4"/>
              </w:rPr>
            </w:pPr>
            <w:r>
              <w:rPr>
                <w:sz w:val="4"/>
                <w:szCs w:val="4"/>
              </w:rPr>
            </w:r>
          </w:p>
        </w:tc>
        <w:tc>
          <w:tcPr>
            <w:tcW w:w="221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24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368,214 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165,497 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91,541 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883,340 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734,151 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marketable securities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93,896 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682,497 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702,463 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117,019 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39,806 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1,702,508 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product returns and rebates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151,665 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net</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401,968 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 of credit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current portion</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731,545 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687,958 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long-term</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long-term</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liabilities, net</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49,809 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8,692 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816,304 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130,000,000 shares authorized; 54,470,622 and 54,253,796 shares issued and outstanding as of March 31, 2023 and December 31, 2022, respectively</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408,115 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 net of tax</w:t>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498,193 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481,245 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886,204 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2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1,791,808 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1,702,508 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0" w:after="283"/>
        <w:ind w:left="0" w:right="0" w:firstLine="45"/>
        <w:jc w:val="center"/>
        <w:rPr/>
      </w:pPr>
      <w:r>
        <w:rPr/>
      </w:r>
    </w:p>
    <w:p>
      <w:pPr>
        <w:pStyle w:val="TextBody"/>
        <w:spacing w:before="200" w:after="283"/>
        <w:jc w:val="center"/>
        <w:rPr/>
      </w:pPr>
      <w:r>
        <w:rPr/>
      </w:r>
    </w:p>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dba2c20553a044fa81db52e43213d19a_22">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Earnings</w:t>
      </w:r>
    </w:p>
    <w:p>
      <w:pPr>
        <w:pStyle w:val="TextBody"/>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(in thousands, except share and per share data)</w:t>
      </w:r>
    </w:p>
    <w:tbl>
      <w:tblPr>
        <w:tblW w:w="6186" w:type="dxa"/>
        <w:jc w:val="center"/>
        <w:tblInd w:w="0" w:type="dxa"/>
        <w:tblCellMar>
          <w:top w:w="28" w:type="dxa"/>
          <w:left w:w="28" w:type="dxa"/>
          <w:bottom w:w="28" w:type="dxa"/>
          <w:right w:w="28" w:type="dxa"/>
        </w:tblCellMar>
      </w:tblPr>
      <w:tblGrid>
        <w:gridCol w:w="1245"/>
        <w:gridCol w:w="1091"/>
        <w:gridCol w:w="1098"/>
        <w:gridCol w:w="219"/>
        <w:gridCol w:w="862"/>
        <w:gridCol w:w="109"/>
        <w:gridCol w:w="109"/>
        <w:gridCol w:w="109"/>
        <w:gridCol w:w="109"/>
        <w:gridCol w:w="219"/>
        <w:gridCol w:w="862"/>
        <w:gridCol w:w="154"/>
      </w:tblGrid>
      <w:tr>
        <w:trPr/>
        <w:tc>
          <w:tcPr>
            <w:tcW w:w="1245"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2"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2"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147,464 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Cost of goods sold </w:t>
            </w:r>
            <w:r>
              <w:rPr>
                <w:rFonts w:ascii="Times New Roman;sans-serif" w:hAnsi="Times New Roman;sans-serif"/>
                <w:b w:val="false"/>
                <w:color w:val="000000"/>
                <w:sz w:val="13"/>
              </w:rPr>
              <w:t>(a)</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17,932 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90,459 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(gain) expense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earnings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other income, net</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before income taxes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(10,893)</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w:t>
            </w:r>
          </w:p>
        </w:tc>
        <w:tc>
          <w:tcPr>
            <w:tcW w:w="11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54,380,947 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53,330,837 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62,454,204 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61,406,555 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120"/>
        <w:ind w:left="0" w:right="0" w:firstLine="45"/>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w:t>
      </w:r>
    </w:p>
    <w:p>
      <w:pPr>
        <w:pStyle w:val="TextBody"/>
        <w:spacing w:lineRule="auto" w:line="288" w:before="0" w:after="0"/>
        <w:rPr/>
      </w:pPr>
      <w:r>
        <w:rPr>
          <w:rFonts w:ascii="Times New Roman;sans-serif" w:hAnsi="Times New Roman;sans-serif"/>
          <w:b w:val="false"/>
          <w:color w:val="000000"/>
          <w:sz w:val="13"/>
        </w:rPr>
        <w:t>(a)</w:t>
      </w:r>
      <w:r>
        <w:rPr>
          <w:color w:val="000000"/>
        </w:rPr>
        <w:t xml:space="preserve"> </w:t>
      </w:r>
      <w:r>
        <w:rPr>
          <w:rFonts w:ascii="Times New Roman;sans-serif" w:hAnsi="Times New Roman;sans-serif"/>
          <w:b w:val="false"/>
          <w:color w:val="000000"/>
          <w:sz w:val="18"/>
        </w:rPr>
        <w:t>Excludes amortization of acquired intangible assets</w:t>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dba2c20553a044fa81db52e43213d19a_22">
        <w:r>
          <w:rPr>
            <w:rStyle w:val="InternetLink"/>
            <w:rFonts w:ascii="Times New Roman;sans-serif" w:hAnsi="Times New Roman;sans-serif"/>
            <w:b w:val="false"/>
            <w:color w:val="0000FF"/>
            <w:sz w:val="20"/>
            <w:u w:val="single"/>
          </w:rPr>
          <w:t>Table of Contents</w:t>
        </w:r>
      </w:hyperlink>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Earnings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7209" w:type="dxa"/>
        <w:jc w:val="center"/>
        <w:tblInd w:w="0" w:type="dxa"/>
        <w:tblCellMar>
          <w:top w:w="28" w:type="dxa"/>
          <w:left w:w="28" w:type="dxa"/>
          <w:bottom w:w="28" w:type="dxa"/>
          <w:right w:w="28" w:type="dxa"/>
        </w:tblCellMar>
      </w:tblPr>
      <w:tblGrid>
        <w:gridCol w:w="1721"/>
        <w:gridCol w:w="1510"/>
        <w:gridCol w:w="1524"/>
        <w:gridCol w:w="211"/>
        <w:gridCol w:w="721"/>
        <w:gridCol w:w="109"/>
        <w:gridCol w:w="109"/>
        <w:gridCol w:w="109"/>
        <w:gridCol w:w="109"/>
        <w:gridCol w:w="211"/>
        <w:gridCol w:w="721"/>
        <w:gridCol w:w="154"/>
      </w:tblGrid>
      <w:tr>
        <w:trPr/>
        <w:tc>
          <w:tcPr>
            <w:tcW w:w="1721" w:type="dxa"/>
            <w:tcBorders/>
            <w:shd w:fill="auto" w:val="clear"/>
            <w:vAlign w:val="center"/>
          </w:tcPr>
          <w:p>
            <w:pPr>
              <w:pStyle w:val="TableContents"/>
              <w:spacing w:before="0" w:after="283"/>
              <w:rPr>
                <w:sz w:val="4"/>
                <w:szCs w:val="4"/>
              </w:rPr>
            </w:pPr>
            <w:r>
              <w:rPr>
                <w:sz w:val="4"/>
                <w:szCs w:val="4"/>
              </w:rPr>
            </w:r>
          </w:p>
        </w:tc>
        <w:tc>
          <w:tcPr>
            <w:tcW w:w="1510" w:type="dxa"/>
            <w:tcBorders/>
            <w:shd w:fill="auto" w:val="clear"/>
            <w:vAlign w:val="center"/>
          </w:tcPr>
          <w:p>
            <w:pPr>
              <w:pStyle w:val="TableContents"/>
              <w:spacing w:before="0" w:after="283"/>
              <w:rPr>
                <w:sz w:val="4"/>
                <w:szCs w:val="4"/>
              </w:rPr>
            </w:pPr>
            <w:r>
              <w:rPr>
                <w:sz w:val="4"/>
                <w:szCs w:val="4"/>
              </w:rPr>
            </w:r>
          </w:p>
        </w:tc>
        <w:tc>
          <w:tcPr>
            <w:tcW w:w="15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7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gain (loss)</w:t>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marketable securities, net of tax</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gain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earnings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Changes in Stockholders’ Equity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 and 2022</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share data)</w:t>
      </w:r>
    </w:p>
    <w:tbl>
      <w:tblPr>
        <w:tblW w:w="10205" w:type="dxa"/>
        <w:jc w:val="left"/>
        <w:tblInd w:w="0" w:type="dxa"/>
        <w:tblCellMar>
          <w:top w:w="28" w:type="dxa"/>
          <w:left w:w="28" w:type="dxa"/>
          <w:bottom w:w="28" w:type="dxa"/>
          <w:right w:w="28" w:type="dxa"/>
        </w:tblCellMar>
      </w:tblPr>
      <w:tblGrid>
        <w:gridCol w:w="795"/>
        <w:gridCol w:w="359"/>
        <w:gridCol w:w="362"/>
        <w:gridCol w:w="540"/>
        <w:gridCol w:w="541"/>
        <w:gridCol w:w="196"/>
        <w:gridCol w:w="109"/>
        <w:gridCol w:w="109"/>
        <w:gridCol w:w="109"/>
        <w:gridCol w:w="214"/>
        <w:gridCol w:w="366"/>
        <w:gridCol w:w="111"/>
        <w:gridCol w:w="109"/>
        <w:gridCol w:w="109"/>
        <w:gridCol w:w="109"/>
        <w:gridCol w:w="223"/>
        <w:gridCol w:w="876"/>
        <w:gridCol w:w="117"/>
        <w:gridCol w:w="109"/>
        <w:gridCol w:w="109"/>
        <w:gridCol w:w="109"/>
        <w:gridCol w:w="339"/>
        <w:gridCol w:w="1015"/>
        <w:gridCol w:w="177"/>
        <w:gridCol w:w="109"/>
        <w:gridCol w:w="109"/>
        <w:gridCol w:w="109"/>
        <w:gridCol w:w="211"/>
        <w:gridCol w:w="826"/>
        <w:gridCol w:w="109"/>
        <w:gridCol w:w="109"/>
        <w:gridCol w:w="109"/>
        <w:gridCol w:w="109"/>
        <w:gridCol w:w="211"/>
        <w:gridCol w:w="826"/>
        <w:gridCol w:w="156"/>
      </w:tblGrid>
      <w:tr>
        <w:trPr/>
        <w:tc>
          <w:tcPr>
            <w:tcW w:w="795"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101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51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
              </w:rPr>
            </w:pPr>
            <w:r>
              <w:rPr>
                <w:rFonts w:ascii="Times New Roman;sans-serif" w:hAnsi="Times New Roman;sans-serif"/>
                <w:b/>
                <w:color w:val="000000"/>
                <w:sz w:val="2"/>
              </w:rPr>
              <w:t>j</w:t>
            </w:r>
          </w:p>
        </w:tc>
        <w:tc>
          <w:tcPr>
            <w:tcW w:w="22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w:t>
              <w:br/>
              <w:t>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Earnings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5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5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54,253,796 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408,115 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886,204 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the Company’s equity award plans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216,826 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marketable securities, net of tax</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March 31, 2023</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54,470,622 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416,232 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498,193 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912,150 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795"/>
        <w:gridCol w:w="359"/>
        <w:gridCol w:w="362"/>
        <w:gridCol w:w="540"/>
        <w:gridCol w:w="541"/>
        <w:gridCol w:w="196"/>
        <w:gridCol w:w="109"/>
        <w:gridCol w:w="109"/>
        <w:gridCol w:w="109"/>
        <w:gridCol w:w="214"/>
        <w:gridCol w:w="366"/>
        <w:gridCol w:w="111"/>
        <w:gridCol w:w="109"/>
        <w:gridCol w:w="109"/>
        <w:gridCol w:w="109"/>
        <w:gridCol w:w="223"/>
        <w:gridCol w:w="876"/>
        <w:gridCol w:w="117"/>
        <w:gridCol w:w="109"/>
        <w:gridCol w:w="109"/>
        <w:gridCol w:w="109"/>
        <w:gridCol w:w="345"/>
        <w:gridCol w:w="1007"/>
        <w:gridCol w:w="179"/>
        <w:gridCol w:w="109"/>
        <w:gridCol w:w="109"/>
        <w:gridCol w:w="109"/>
        <w:gridCol w:w="211"/>
        <w:gridCol w:w="826"/>
        <w:gridCol w:w="109"/>
        <w:gridCol w:w="109"/>
        <w:gridCol w:w="109"/>
        <w:gridCol w:w="109"/>
        <w:gridCol w:w="211"/>
        <w:gridCol w:w="826"/>
        <w:gridCol w:w="156"/>
      </w:tblGrid>
      <w:tr>
        <w:trPr/>
        <w:tc>
          <w:tcPr>
            <w:tcW w:w="795"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5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w:t>
              <w:br/>
              <w:t>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Earnings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15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3" w:type="dxa"/>
            <w:gridSpan w:val="3"/>
            <w:vMerge w:val="continue"/>
            <w:tcBorders/>
            <w:shd w:fill="auto" w:val="clear"/>
            <w:tcMar>
              <w:top w:w="0" w:type="dxa"/>
              <w:left w:w="0" w:type="dxa"/>
              <w:bottom w:w="0" w:type="dxa"/>
              <w:right w:w="0" w:type="dxa"/>
            </w:tcMar>
            <w:vAlign w:val="center"/>
          </w:tcPr>
          <w:p>
            <w:pPr>
              <w:pStyle w:val="Normal"/>
              <w:rPr/>
            </w:pPr>
            <w:r>
              <w:rPr/>
            </w:r>
          </w:p>
        </w:tc>
      </w:tr>
      <w:tr>
        <w:trPr/>
        <w:tc>
          <w:tcPr>
            <w:tcW w:w="15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December 31, 2021</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53,256,094 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434,337 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Cumulative effect of adoption of ASU 2020-06</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(56,212)</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(15,600)</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January 1, 2022</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53,256,094 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378,125 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420,534 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800,251 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in connection with the Company’s equity award plans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130,211 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25,616 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marketable securities, net of tax</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(2,312)</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March 31, 2022</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53,386,305 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383,016 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446,150 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828,446 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before="200" w:after="283"/>
        <w:jc w:val="center"/>
        <w:rPr/>
      </w:pPr>
      <w:r>
        <w:rPr/>
      </w:r>
    </w:p>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spacing w:lineRule="auto" w:line="288" w:before="0" w:after="0"/>
        <w:ind w:left="0" w:right="0" w:firstLine="45"/>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624" w:type="dxa"/>
        <w:jc w:val="center"/>
        <w:tblInd w:w="0" w:type="dxa"/>
        <w:tblCellMar>
          <w:top w:w="28" w:type="dxa"/>
          <w:left w:w="28" w:type="dxa"/>
          <w:bottom w:w="28" w:type="dxa"/>
          <w:right w:w="28" w:type="dxa"/>
        </w:tblCellMar>
      </w:tblPr>
      <w:tblGrid>
        <w:gridCol w:w="2515"/>
        <w:gridCol w:w="2215"/>
        <w:gridCol w:w="2230"/>
        <w:gridCol w:w="211"/>
        <w:gridCol w:w="826"/>
        <w:gridCol w:w="109"/>
        <w:gridCol w:w="109"/>
        <w:gridCol w:w="109"/>
        <w:gridCol w:w="109"/>
        <w:gridCol w:w="211"/>
        <w:gridCol w:w="826"/>
        <w:gridCol w:w="154"/>
      </w:tblGrid>
      <w:tr>
        <w:trPr/>
        <w:tc>
          <w:tcPr>
            <w:tcW w:w="2515" w:type="dxa"/>
            <w:tcBorders/>
            <w:shd w:fill="auto" w:val="clear"/>
            <w:vAlign w:val="center"/>
          </w:tcPr>
          <w:p>
            <w:pPr>
              <w:pStyle w:val="TableContents"/>
              <w:spacing w:before="0" w:after="283"/>
              <w:rPr>
                <w:sz w:val="4"/>
                <w:szCs w:val="4"/>
              </w:rPr>
            </w:pPr>
            <w:r>
              <w:rPr>
                <w:sz w:val="4"/>
                <w:szCs w:val="4"/>
              </w:rPr>
            </w:r>
          </w:p>
        </w:tc>
        <w:tc>
          <w:tcPr>
            <w:tcW w:w="2215" w:type="dxa"/>
            <w:tcBorders/>
            <w:shd w:fill="auto" w:val="clear"/>
            <w:vAlign w:val="center"/>
          </w:tcPr>
          <w:p>
            <w:pPr>
              <w:pStyle w:val="TableContents"/>
              <w:spacing w:before="0" w:after="283"/>
              <w:rPr>
                <w:sz w:val="4"/>
                <w:szCs w:val="4"/>
              </w:rPr>
            </w:pPr>
            <w:r>
              <w:rPr>
                <w:sz w:val="4"/>
                <w:szCs w:val="4"/>
              </w:rPr>
            </w:r>
          </w:p>
        </w:tc>
        <w:tc>
          <w:tcPr>
            <w:tcW w:w="223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6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9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6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operating activities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earnings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earnings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21,362 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from Navitor (see Note 4)</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(12,888)</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deferred financing costs and debt discount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premium/discount on marketable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of contingent consideration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noncash adjustments, net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benefit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assets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product returns and rebates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liabilities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(29,479)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investing activities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marketable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(98,063)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maturities of marketable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and equipment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investing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(69,987)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Cash flows from financing activities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Line of Credit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Line of Credit</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contingent consideration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issuance of common stock</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cash equivalents, and restricted cash</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(87,719)</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year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on convertible notes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operating leases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assets obtained for new operating leases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9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additions from utilization of tenant improvement allowance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160" w:after="283"/>
        <w:ind w:left="0" w:right="0" w:firstLine="45"/>
        <w:jc w:val="center"/>
        <w:rPr/>
      </w:pPr>
      <w:r>
        <w:rPr/>
      </w:r>
    </w:p>
    <w:p>
      <w:pPr>
        <w:pStyle w:val="TextBody"/>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Supernus Pharmaceuticals,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(unaudited)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Times New Roman;sans-serif" w:hAnsi="Times New Roman;sans-serif"/>
          <w:b/>
          <w:color w:val="000000"/>
          <w:sz w:val="20"/>
        </w:rPr>
      </w:pPr>
      <w:r>
        <w:rPr>
          <w:rFonts w:ascii="Times New Roman;sans-serif" w:hAnsi="Times New Roman;sans-serif"/>
          <w:b/>
          <w:color w:val="000000"/>
          <w:sz w:val="20"/>
        </w:rPr>
        <w:t>1.    Business Organization</w:t>
      </w:r>
    </w:p>
    <w:p>
      <w:pPr>
        <w:pStyle w:val="TextBody"/>
        <w:spacing w:lineRule="auto" w:line="288" w:before="200" w:after="200"/>
        <w:ind w:left="0" w:right="0" w:firstLine="720"/>
        <w:rPr/>
      </w:pPr>
      <w:r>
        <w:rPr>
          <w:rFonts w:ascii="Times New Roman;sans-serif" w:hAnsi="Times New Roman;sans-serif"/>
          <w:b w:val="false"/>
          <w:color w:val="000000"/>
          <w:sz w:val="20"/>
        </w:rPr>
        <w:t xml:space="preserve">Supernus Pharmaceuticals, Inc. (the "Company", see Note 2, </w:t>
      </w:r>
      <w:r>
        <w:rPr>
          <w:rFonts w:ascii="Times New Roman;sans-serif" w:hAnsi="Times New Roman;sans-serif"/>
          <w:b w:val="false"/>
          <w:i/>
          <w:color w:val="000000"/>
          <w:sz w:val="20"/>
        </w:rPr>
        <w:t>Consolidation</w:t>
      </w:r>
      <w:r>
        <w:rPr>
          <w:rFonts w:ascii="Times New Roman;sans-serif" w:hAnsi="Times New Roman;sans-serif"/>
          <w:b w:val="false"/>
          <w:color w:val="000000"/>
          <w:sz w:val="20"/>
        </w:rPr>
        <w:t>) is a biopharmaceutical company focused on developing and commercializing products for the treatment of central nervous system (CNS) diseases. The Company's diverse neuroscience portfolio includes approved treatments for epilepsy, migraine, attention-deficit hyperactivity disorder (ADHD), hypomobility in Parkinson’s Disease (PD), cervical dystonia, chronic sialorrhea, dyskinesia in PD patients receiving levodopa-based therapy, and drug-induced extrapyramidal reactions in adult patients. The Company is developing a broad range of novel CNS product candidates including new potential treatments for hypomobility in PD, epilepsy, depression, and other CNS disorders.</w:t>
      </w:r>
    </w:p>
    <w:p>
      <w:pPr>
        <w:pStyle w:val="TextBody"/>
        <w:spacing w:lineRule="auto" w:line="288" w:before="200" w:after="200"/>
        <w:ind w:left="0" w:right="0" w:firstLine="720"/>
        <w:rPr/>
      </w:pPr>
      <w:r>
        <w:rPr>
          <w:rFonts w:ascii="Times New Roman;sans-serif" w:hAnsi="Times New Roman;sans-serif"/>
          <w:b w:val="false"/>
          <w:color w:val="000000"/>
          <w:sz w:val="20"/>
        </w:rPr>
        <w:t>The Company has eight commercial products that it markets: Qelbree</w:t>
      </w:r>
      <w:r>
        <w:rPr>
          <w:rFonts w:ascii="Times New Roman;sans-serif" w:hAnsi="Times New Roman;sans-serif"/>
          <w:b w:val="false"/>
          <w:color w:val="000000"/>
          <w:sz w:val="13"/>
        </w:rPr>
        <w:t>®</w:t>
      </w:r>
      <w:r>
        <w:rPr>
          <w:rFonts w:ascii="Times New Roman;sans-serif" w:hAnsi="Times New Roman;sans-serif"/>
          <w:b w:val="false"/>
          <w:color w:val="000000"/>
          <w:sz w:val="20"/>
        </w:rPr>
        <w:t>, Trokendi XR</w:t>
      </w:r>
      <w:r>
        <w:rPr>
          <w:rFonts w:ascii="Times New Roman;sans-serif" w:hAnsi="Times New Roman;sans-serif"/>
          <w:b w:val="false"/>
          <w:color w:val="000000"/>
          <w:sz w:val="13"/>
        </w:rPr>
        <w:t>®</w:t>
      </w:r>
      <w:r>
        <w:rPr>
          <w:rFonts w:ascii="Times New Roman;sans-serif" w:hAnsi="Times New Roman;sans-serif"/>
          <w:b w:val="false"/>
          <w:color w:val="000000"/>
          <w:sz w:val="20"/>
        </w:rPr>
        <w:t>, Oxtellar XR</w:t>
      </w:r>
      <w:r>
        <w:rPr>
          <w:rFonts w:ascii="Times New Roman;sans-serif" w:hAnsi="Times New Roman;sans-serif"/>
          <w:b w:val="false"/>
          <w:color w:val="000000"/>
          <w:sz w:val="13"/>
        </w:rPr>
        <w:t>®</w:t>
      </w:r>
      <w:r>
        <w:rPr>
          <w:rFonts w:ascii="Times New Roman;sans-serif" w:hAnsi="Times New Roman;sans-serif"/>
          <w:b w:val="false"/>
          <w:color w:val="000000"/>
          <w:sz w:val="20"/>
        </w:rPr>
        <w:t>, GOCOVRI</w:t>
      </w:r>
      <w:r>
        <w:rPr>
          <w:rFonts w:ascii="Times New Roman;sans-serif" w:hAnsi="Times New Roman;sans-serif"/>
          <w:b w:val="false"/>
          <w:color w:val="000000"/>
          <w:sz w:val="13"/>
        </w:rPr>
        <w:t>®</w:t>
      </w:r>
      <w:r>
        <w:rPr>
          <w:rFonts w:ascii="Times New Roman;sans-serif" w:hAnsi="Times New Roman;sans-serif"/>
          <w:b w:val="false"/>
          <w:color w:val="000000"/>
          <w:sz w:val="20"/>
        </w:rPr>
        <w:t>, APOKYN</w:t>
      </w:r>
      <w:r>
        <w:rPr>
          <w:rFonts w:ascii="Times New Roman;sans-serif" w:hAnsi="Times New Roman;sans-serif"/>
          <w:b w:val="false"/>
          <w:color w:val="000000"/>
          <w:sz w:val="13"/>
        </w:rPr>
        <w:t>®</w:t>
      </w:r>
      <w:r>
        <w:rPr>
          <w:rFonts w:ascii="Times New Roman;sans-serif" w:hAnsi="Times New Roman;sans-serif"/>
          <w:b w:val="false"/>
          <w:color w:val="000000"/>
          <w:sz w:val="20"/>
        </w:rPr>
        <w:t>, XADAGO</w:t>
      </w:r>
      <w:r>
        <w:rPr>
          <w:rFonts w:ascii="Times New Roman;sans-serif" w:hAnsi="Times New Roman;sans-serif"/>
          <w:b w:val="false"/>
          <w:color w:val="000000"/>
          <w:sz w:val="13"/>
        </w:rPr>
        <w:t>®</w:t>
      </w:r>
      <w:r>
        <w:rPr>
          <w:rFonts w:ascii="Times New Roman;sans-serif" w:hAnsi="Times New Roman;sans-serif"/>
          <w:b w:val="false"/>
          <w:color w:val="000000"/>
          <w:sz w:val="20"/>
        </w:rPr>
        <w:t>, Osmolex ER</w:t>
      </w:r>
      <w:r>
        <w:rPr>
          <w:rFonts w:ascii="Times New Roman;sans-serif" w:hAnsi="Times New Roman;sans-serif"/>
          <w:b w:val="false"/>
          <w:color w:val="000000"/>
          <w:sz w:val="13"/>
        </w:rPr>
        <w:t>®</w:t>
      </w:r>
      <w:r>
        <w:rPr>
          <w:rFonts w:ascii="Times New Roman;sans-serif" w:hAnsi="Times New Roman;sans-serif"/>
          <w:b w:val="false"/>
          <w:color w:val="000000"/>
          <w:sz w:val="20"/>
        </w:rPr>
        <w:t>, and MYOBLOC</w:t>
      </w:r>
      <w:r>
        <w:rPr>
          <w:rFonts w:ascii="Times New Roman;sans-serif" w:hAnsi="Times New Roman;sans-serif"/>
          <w:b w:val="false"/>
          <w:color w:val="000000"/>
          <w:sz w:val="13"/>
        </w:rPr>
        <w:t>®</w:t>
      </w:r>
      <w:r>
        <w:rPr>
          <w:rFonts w:ascii="Times New Roman;sans-serif" w:hAnsi="Times New Roman;sans-serif"/>
          <w:b w:val="false"/>
          <w:color w:val="000000"/>
          <w:sz w:val="20"/>
        </w:rPr>
        <w:t>. In addition, SPN-830 (apomorphine infusion device) is a late-stage drug/device combination product candidate for the continuous treatment of motor fluctuations ("off" episodes) in PD patients that are not adequately controlled with oral levodopa and one or more adjunct PD medications.</w:t>
      </w:r>
    </w:p>
    <w:p>
      <w:pPr>
        <w:pStyle w:val="TextBody"/>
        <w:spacing w:lineRule="auto" w:line="288" w:before="200" w:after="200"/>
        <w:rPr>
          <w:rFonts w:ascii="Times New Roman;sans-serif" w:hAnsi="Times New Roman;sans-serif"/>
          <w:b w:val="false"/>
          <w:i/>
          <w:color w:val="000000"/>
          <w:sz w:val="20"/>
        </w:rPr>
      </w:pPr>
      <w:r>
        <w:rPr>
          <w:rFonts w:ascii="Times New Roman;sans-serif" w:hAnsi="Times New Roman;sans-serif"/>
          <w:b w:val="false"/>
          <w:i/>
          <w:color w:val="000000"/>
          <w:sz w:val="20"/>
        </w:rPr>
        <w:t>Adamas Reorganization</w:t>
      </w:r>
    </w:p>
    <w:p>
      <w:pPr>
        <w:pStyle w:val="TextBody"/>
        <w:spacing w:lineRule="auto" w:line="288" w:before="200" w:after="200"/>
        <w:ind w:left="0" w:right="0" w:firstLine="720"/>
        <w:rPr/>
      </w:pPr>
      <w:r>
        <w:rPr>
          <w:rFonts w:ascii="Times New Roman;sans-serif" w:hAnsi="Times New Roman;sans-serif"/>
          <w:b w:val="false"/>
          <w:color w:val="000000"/>
          <w:sz w:val="20"/>
        </w:rPr>
        <w:t xml:space="preserve">In the first quarter of 2022, the Company completed a reorganization of the Adamas Pharmaceuticals, Inc. (Adamas) legal entities in an effort to obtain operational, legal and other benefits that also resulted in certain state tax efficiencies. The reorganization had no effect on the condensed consolidated financial statements other than certain state tax efficiencies. (See Note 11, </w:t>
      </w:r>
      <w:r>
        <w:rPr>
          <w:rFonts w:ascii="Times New Roman;sans-serif" w:hAnsi="Times New Roman;sans-serif"/>
          <w:b w:val="false"/>
          <w:i/>
          <w:color w:val="000000"/>
          <w:sz w:val="20"/>
        </w:rPr>
        <w:t>Income Tax Benefit</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88" w:before="200" w:after="200"/>
        <w:rPr>
          <w:rFonts w:ascii="Times New Roman;sans-serif" w:hAnsi="Times New Roman;sans-serif"/>
          <w:b/>
          <w:color w:val="000000"/>
          <w:sz w:val="20"/>
        </w:rPr>
      </w:pPr>
      <w:r>
        <w:rPr>
          <w:rFonts w:ascii="Times New Roman;sans-serif" w:hAnsi="Times New Roman;sans-serif"/>
          <w:b/>
          <w:color w:val="000000"/>
          <w:sz w:val="20"/>
        </w:rPr>
        <w:t xml:space="preserve">Basis of Presentation </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unaudited condensed consolidated financial statements have been prepared in accordance with the requirements of the U.S. Securities and Exchange Commission (SEC) for interim financial information. As permitted under Generally Accepted Accounting Principles in the United States (U.S. GAAP), certain notes and other information have been omitted from the interim unaudited condensed consolidated financial statements presented in this Quarterly Report on Form 10-Q. Therefore, these condensed consolidated financial statements should be read in conjunction with the Company’s most recent Annual Report on Form 10-K, for the year ended December 31, 2022, filed with the SEC.</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management’s opinion, the condensed consolidated financial statements include all normal and recurring adjustments necessary for a fair presentation of the Company’s financial position, results of operations, and cash flows. The results of operations for any interim period are not necessarily indicative of the Company’s future quarterly or annual results.</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which is primarily located in the U.S., operates in one operating segment.</w:t>
      </w:r>
    </w:p>
    <w:p>
      <w:pPr>
        <w:pStyle w:val="TextBody"/>
        <w:spacing w:lineRule="auto" w:line="288" w:before="200" w:after="200"/>
        <w:rPr>
          <w:rFonts w:ascii="Times New Roman;sans-serif" w:hAnsi="Times New Roman;sans-serif"/>
          <w:b/>
          <w:color w:val="000000"/>
          <w:sz w:val="20"/>
        </w:rPr>
      </w:pPr>
      <w:r>
        <w:rPr>
          <w:rFonts w:ascii="Times New Roman;sans-serif" w:hAnsi="Times New Roman;sans-serif"/>
          <w:b/>
          <w:color w:val="000000"/>
          <w:sz w:val="20"/>
        </w:rPr>
        <w:t>Consolidation</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Company's condensed consolidated financial statements include the accounts of Supernus Pharmaceuticals, Inc. and its wholly owned subsidiaries. These are collectively referred to herein as "Supernus" or "the Company." Supernus Pharmaceuticals, Inc. and each of its subsidiaries are distinct legal entities. All significant intercompany transactions and balances have been eliminated in consolidation.</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financial statements reflect the consolidation of entities in which the Company has a controlling financial interest. In determining whether there is a controlling financial interest, the Company considers if it has a majority of the voting interests of the entity, or if the entity is a variable interest entity (VIE) and if the Company is the primary beneficiary. In determining the primary beneficiary of a VIE, the Company evaluates whether it has both: the power to direct the activities of the VIE that most significantly impact the VIE's economic performance; and the obligation to absorb losses of, or the right to receive benefits from the VIE that could potentially be significant to that VIE. The Company's judgment with respect to its level of influence or control of an entity involves the consideration of various factors, including the form of an ownership interest; representation in the entity's governance; the size of the investment; estimates of future cash flows; the ability to participate in policymaking decisions; and the rights of the other investors to participate in the decision making process, including the right to liquidate the entity, if applicable. If the Company is not the primary beneficiary of the VIE, and an ownership interest is maintained in the entity, the interest is accounted for under the equity or cost methods of accounting, as appropriate.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continuously assesses whether it is the primary beneficiary of a VIE as changes to existing relationships or future transactions may affect its conclusions.</w:t>
      </w:r>
    </w:p>
    <w:p>
      <w:pPr>
        <w:pStyle w:val="TextBody"/>
        <w:spacing w:lineRule="auto" w:line="288" w:before="200" w:after="200"/>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bases its estimates on: historical experience; forecasts; information received from its service providers; information from other sources, including public and proprietary sources; and other assumptions that the Company believes are reasonable under the circumstances. Actual results could differ materially from the Company’s estimates. The Company periodically evaluates the methodologies employed in making its estimates.</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extent to which the COVID-19 pandemic may directly or indirectly impact our business, financial condition and results of operations is highly uncertain and subject to change. As a result, certain of our estimates and assumptions, including the provision for sales deductions and the fair values of our financial instruments, and the recoverability of intangible assets require increased judgment and carry a higher degree of variability and volatility that could result in material changes to our estimates in future periods.</w:t>
      </w:r>
    </w:p>
    <w:p>
      <w:pPr>
        <w:pStyle w:val="TextBody"/>
        <w:spacing w:lineRule="auto" w:line="288" w:before="200" w:after="200"/>
        <w:rPr>
          <w:rFonts w:ascii="Times New Roman;sans-serif" w:hAnsi="Times New Roman;sans-serif"/>
          <w:b/>
          <w:color w:val="000000"/>
          <w:sz w:val="20"/>
        </w:rPr>
      </w:pPr>
      <w:r>
        <w:rPr>
          <w:rFonts w:ascii="Times New Roman;sans-serif" w:hAnsi="Times New Roman;sans-serif"/>
          <w:b/>
          <w:color w:val="000000"/>
          <w:sz w:val="20"/>
        </w:rPr>
        <w:t>Advertising Expense</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Advertising expense includes the cost of promotional materials and activities, such as printed materials and digital marketing, marketing programs and speaker programs. The cost of the Company's advertising efforts are expensed as incurred.</w:t>
      </w:r>
    </w:p>
    <w:p>
      <w:pPr>
        <w:pStyle w:val="TextBody"/>
        <w:spacing w:lineRule="auto" w:line="288" w:before="200" w:after="200"/>
        <w:ind w:left="0" w:right="0" w:firstLine="720"/>
        <w:rPr/>
      </w:pPr>
      <w:r>
        <w:rPr>
          <w:rFonts w:ascii="Times New Roman;sans-serif" w:hAnsi="Times New Roman;sans-serif"/>
          <w:b w:val="false"/>
          <w:color w:val="000000"/>
          <w:sz w:val="20"/>
        </w:rPr>
        <w:t xml:space="preserve">The Company incurred approximately $25.9 million and $23.9 million in advertising expense for the three months ended March 31, 2023 and 2022, respectively. These expenses are recorded as a component of </w:t>
      </w:r>
      <w:r>
        <w:rPr>
          <w:rFonts w:ascii="Times New Roman;sans-serif" w:hAnsi="Times New Roman;sans-serif"/>
          <w:b w:val="false"/>
          <w:i/>
          <w:color w:val="000000"/>
          <w:sz w:val="20"/>
        </w:rPr>
        <w:t xml:space="preserve">Selling, general and administrative expenses </w:t>
      </w:r>
      <w:r>
        <w:rPr>
          <w:rFonts w:ascii="Times New Roman;sans-serif" w:hAnsi="Times New Roman;sans-serif"/>
          <w:b w:val="false"/>
          <w:color w:val="000000"/>
          <w:sz w:val="20"/>
        </w:rPr>
        <w:t>in the condensed consolidated statements of earnings.</w:t>
      </w:r>
    </w:p>
    <w:p>
      <w:pPr>
        <w:pStyle w:val="TextBody"/>
        <w:spacing w:lineRule="auto" w:line="288" w:before="200" w:after="200"/>
        <w:rPr>
          <w:rFonts w:ascii="Times New Roman;sans-serif" w:hAnsi="Times New Roman;sans-serif"/>
          <w:b/>
          <w:color w:val="000000"/>
          <w:sz w:val="20"/>
        </w:rPr>
      </w:pPr>
      <w:r>
        <w:rPr>
          <w:rFonts w:ascii="Times New Roman;sans-serif" w:hAnsi="Times New Roman;sans-serif"/>
          <w:b/>
          <w:color w:val="000000"/>
          <w:sz w:val="20"/>
        </w:rPr>
        <w:t>Restricted Cash</w:t>
      </w:r>
    </w:p>
    <w:p>
      <w:pPr>
        <w:pStyle w:val="TextBody"/>
        <w:spacing w:lineRule="auto" w:line="252" w:before="0" w:after="0"/>
        <w:ind w:left="0" w:right="0" w:firstLine="720"/>
        <w:rPr/>
      </w:pPr>
      <w:r>
        <w:rPr>
          <w:rFonts w:ascii="Times New Roman;sans-serif" w:hAnsi="Times New Roman;sans-serif"/>
          <w:b w:val="false"/>
          <w:color w:val="000000"/>
          <w:sz w:val="20"/>
        </w:rPr>
        <w:t xml:space="preserve">The Company has a restricted cash balance of $403.8 million as of March 31, 2023 which was held in an escrow account with Wilmington Trust, Trustee, in connection with the 2023 Notes payoff which occurred on April 1, 2023. Refer to Note 8, </w:t>
      </w:r>
      <w:r>
        <w:rPr>
          <w:rFonts w:ascii="Times New Roman;sans-serif" w:hAnsi="Times New Roman;sans-serif"/>
          <w:b w:val="false"/>
          <w:i/>
          <w:color w:val="000000"/>
          <w:sz w:val="20"/>
        </w:rPr>
        <w:t>Debt</w:t>
      </w:r>
      <w:r>
        <w:rPr>
          <w:rFonts w:ascii="Times New Roman;sans-serif" w:hAnsi="Times New Roman;sans-serif"/>
          <w:b w:val="false"/>
          <w:color w:val="000000"/>
          <w:sz w:val="20"/>
        </w:rPr>
        <w:t xml:space="preserve">, and Note 16, </w:t>
      </w:r>
      <w:r>
        <w:rPr>
          <w:rFonts w:ascii="Times New Roman;sans-serif" w:hAnsi="Times New Roman;sans-serif"/>
          <w:b w:val="false"/>
          <w:i/>
          <w:color w:val="000000"/>
          <w:sz w:val="20"/>
        </w:rPr>
        <w:t>Subsequent Events</w:t>
      </w:r>
      <w:r>
        <w:rPr>
          <w:rFonts w:ascii="Times New Roman;sans-serif" w:hAnsi="Times New Roman;sans-serif"/>
          <w:b w:val="false"/>
          <w:color w:val="000000"/>
          <w:sz w:val="20"/>
        </w:rPr>
        <w:t>.</w:t>
      </w:r>
    </w:p>
    <w:p>
      <w:pPr>
        <w:pStyle w:val="TextBody"/>
        <w:spacing w:before="0" w:after="0"/>
        <w:ind w:left="0" w:right="0" w:firstLine="720"/>
        <w:rPr/>
      </w:pPr>
      <w:r>
        <w:rPr/>
      </w:r>
    </w:p>
    <w:p>
      <w:pPr>
        <w:pStyle w:val="TextBody"/>
        <w:spacing w:lineRule="auto" w:line="252"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cash equivalents, and restricted cash reported within the</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condensed consolidated balance sheets that sum to the total of the same amounts shown in the condensed consolidated statements of cash flows:</w:t>
      </w:r>
    </w:p>
    <w:tbl>
      <w:tblPr>
        <w:tblW w:w="9333" w:type="dxa"/>
        <w:jc w:val="left"/>
        <w:tblInd w:w="0" w:type="dxa"/>
        <w:tblCellMar>
          <w:top w:w="28" w:type="dxa"/>
          <w:left w:w="28" w:type="dxa"/>
          <w:bottom w:w="28" w:type="dxa"/>
          <w:right w:w="28" w:type="dxa"/>
        </w:tblCellMar>
      </w:tblPr>
      <w:tblGrid>
        <w:gridCol w:w="2276"/>
        <w:gridCol w:w="1999"/>
        <w:gridCol w:w="2010"/>
        <w:gridCol w:w="211"/>
        <w:gridCol w:w="826"/>
        <w:gridCol w:w="109"/>
        <w:gridCol w:w="109"/>
        <w:gridCol w:w="109"/>
        <w:gridCol w:w="109"/>
        <w:gridCol w:w="306"/>
        <w:gridCol w:w="1046"/>
        <w:gridCol w:w="223"/>
      </w:tblGrid>
      <w:tr>
        <w:trPr/>
        <w:tc>
          <w:tcPr>
            <w:tcW w:w="2276" w:type="dxa"/>
            <w:tcBorders/>
            <w:shd w:fill="auto" w:val="clear"/>
            <w:vAlign w:val="center"/>
          </w:tcPr>
          <w:p>
            <w:pPr>
              <w:pStyle w:val="TableContents"/>
              <w:spacing w:before="0" w:after="283"/>
              <w:rPr>
                <w:sz w:val="4"/>
                <w:szCs w:val="4"/>
              </w:rPr>
            </w:pPr>
            <w:r>
              <w:rPr>
                <w:sz w:val="4"/>
                <w:szCs w:val="4"/>
              </w:rPr>
            </w:r>
          </w:p>
        </w:tc>
        <w:tc>
          <w:tcPr>
            <w:tcW w:w="1999" w:type="dxa"/>
            <w:tcBorders/>
            <w:shd w:fill="auto" w:val="clear"/>
            <w:vAlign w:val="center"/>
          </w:tcPr>
          <w:p>
            <w:pPr>
              <w:pStyle w:val="TableContents"/>
              <w:spacing w:before="0" w:after="283"/>
              <w:rPr>
                <w:sz w:val="4"/>
                <w:szCs w:val="4"/>
              </w:rPr>
            </w:pPr>
            <w:r>
              <w:rPr>
                <w:sz w:val="4"/>
                <w:szCs w:val="4"/>
              </w:rPr>
            </w:r>
          </w:p>
        </w:tc>
        <w:tc>
          <w:tcPr>
            <w:tcW w:w="20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r>
      <w:tr>
        <w:trPr/>
        <w:tc>
          <w:tcPr>
            <w:tcW w:w="6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4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 2023</w:t>
            </w:r>
          </w:p>
        </w:tc>
      </w:tr>
      <w:tr>
        <w:trPr/>
        <w:tc>
          <w:tcPr>
            <w:tcW w:w="6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End of period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Beginning of period</w:t>
            </w:r>
          </w:p>
        </w:tc>
      </w:tr>
      <w:tr>
        <w:trPr/>
        <w:tc>
          <w:tcPr>
            <w:tcW w:w="62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93,120 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403,758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62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cash equivalents, and restricted cash per statements of cash flows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93,120 </w:t>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rPr>
          <w:rFonts w:ascii="Times New Roman;sans-serif" w:hAnsi="Times New Roman;sans-serif"/>
          <w:b/>
          <w:color w:val="000000"/>
          <w:sz w:val="20"/>
        </w:rPr>
      </w:pPr>
      <w:r>
        <w:rPr>
          <w:rFonts w:ascii="Times New Roman;sans-serif" w:hAnsi="Times New Roman;sans-serif"/>
          <w:b/>
          <w:color w:val="000000"/>
          <w:sz w:val="20"/>
        </w:rPr>
        <w:t>Line of Credit</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Line of credit includes borrowings under the uncommitted demand secured line of credit. On February 8, 2023, the Company entered into a credit line agreement (the “Credit Line”) with UBS Bank USA (“UBS”). The Credit Line provides for a revolving line of credit of up to $150 million, which can be drawn at any time.</w:t>
      </w:r>
    </w:p>
    <w:p>
      <w:pPr>
        <w:pStyle w:val="TextBody"/>
        <w:spacing w:lineRule="auto" w:line="288" w:before="200" w:after="200"/>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spacing w:lineRule="auto" w:line="288" w:before="200" w:after="200"/>
        <w:rPr>
          <w:rFonts w:ascii="Times New Roman;sans-serif" w:hAnsi="Times New Roman;sans-serif"/>
          <w:b w:val="false"/>
          <w:i/>
          <w:color w:val="000000"/>
          <w:sz w:val="20"/>
        </w:rPr>
      </w:pPr>
      <w:r>
        <w:rPr>
          <w:rFonts w:ascii="Times New Roman;sans-serif" w:hAnsi="Times New Roman;sans-serif"/>
          <w:b w:val="false"/>
          <w:i/>
          <w:color w:val="000000"/>
          <w:sz w:val="20"/>
        </w:rPr>
        <w:t>Accounting Pronouncements Adopted</w:t>
      </w:r>
    </w:p>
    <w:p>
      <w:pPr>
        <w:pStyle w:val="TextBody"/>
        <w:spacing w:lineRule="auto" w:line="288" w:before="200" w:after="200"/>
        <w:ind w:left="0" w:right="0" w:firstLine="720"/>
        <w:rPr/>
      </w:pPr>
      <w:r>
        <w:rPr>
          <w:rFonts w:ascii="Times New Roman;sans-serif" w:hAnsi="Times New Roman;sans-serif"/>
          <w:b w:val="false"/>
          <w:color w:val="000000"/>
          <w:sz w:val="20"/>
        </w:rPr>
        <w:t xml:space="preserve">Accounting Standards Update (ASU) 2020-06, </w:t>
      </w:r>
      <w:r>
        <w:rPr>
          <w:rFonts w:ascii="Times New Roman;sans-serif" w:hAnsi="Times New Roman;sans-serif"/>
          <w:b w:val="false"/>
          <w:i/>
          <w:color w:val="000000"/>
          <w:sz w:val="20"/>
        </w:rPr>
        <w:t>Debt - Debt with Conversion and Other Options (Subtopic 470-20) and Derivatives and Hedging - Contracts in Entity's Own Equity (Subtopic 815-40)</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rPr>
        <w:t>Accounting for Convertible Instruments and Contracts in an Entity's Own Equity</w:t>
      </w:r>
      <w:r>
        <w:rPr>
          <w:color w:val="000000"/>
        </w:rPr>
        <w:t xml:space="preserve"> </w:t>
      </w:r>
      <w:r>
        <w:rPr>
          <w:rFonts w:ascii="Times New Roman;sans-serif" w:hAnsi="Times New Roman;sans-serif"/>
          <w:b w:val="false"/>
          <w:color w:val="000000"/>
          <w:sz w:val="20"/>
        </w:rPr>
        <w:t>- The new standard, issued in August 2020, simplifies the accounting for certain financial instruments with characteristics of liabilities and equity, including convertible debt instruments with cash conversion and beneficial conversion features. ASU 2020-06 eliminates requirements to separately account for liability and equity components of such convertible debt instruments and eliminates the ability to use the treasury stock method for calculating diluted earnings per share for convertible instruments whose principal amount may be settled in whole or in part with equity. Instead, ASU 2020-06 requires (i) the entire amount of the security to be presented as a liability on the balance sheet and (ii) application of the “if-</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converted” method for calculating diluted earnings per share. This new standard also removes certain settlement conditions required for equity contracts to qualify for the derivative scope exception.</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the new guidance as of January 1, 2022 using the modified retrospective method of transition which allows for a cumulative-effect adjustment to the opening balance of retained earnings in the period of adoption. As a result, the cumulative effect of the accounting change increased the carrying amount of the convertible notes, net by $20.6 million, increased retained earnings by $40.6 million, reduced additional paid-in capital by $56.2 million, and decreased deferred tax liabilities by $5.0 million as of January 1, 2022. In addition, the Company had an increase of 6.8 million in dilutive shares included in diluted weighted average shares of common stock outstanding for the purposes of calculating diluted earnings per share under the if-converted method.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Times New Roman;sans-serif" w:hAnsi="Times New Roman;sans-serif"/>
          <w:b/>
          <w:color w:val="000000"/>
          <w:sz w:val="20"/>
        </w:rPr>
        <w:t>3.</w:t>
      </w:r>
      <w:r>
        <w:rPr>
          <w:color w:val="000000"/>
        </w:rPr>
        <w:t xml:space="preserve"> </w:t>
      </w:r>
      <w:r>
        <w:rPr>
          <w:rFonts w:ascii="Times New Roman;sans-serif" w:hAnsi="Times New Roman;sans-serif"/>
          <w:b/>
          <w:color w:val="000000"/>
          <w:sz w:val="20"/>
        </w:rPr>
        <w:t xml:space="preserve">Disaggregated Revenues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disaggregation of revenues by product or source, (dollars in thousands):</w:t>
      </w:r>
    </w:p>
    <w:tbl>
      <w:tblPr>
        <w:tblW w:w="4629" w:type="dxa"/>
        <w:jc w:val="left"/>
        <w:tblInd w:w="0" w:type="dxa"/>
        <w:tblCellMar>
          <w:top w:w="28" w:type="dxa"/>
          <w:left w:w="28" w:type="dxa"/>
          <w:bottom w:w="28" w:type="dxa"/>
          <w:right w:w="28" w:type="dxa"/>
        </w:tblCellMar>
      </w:tblPr>
      <w:tblGrid>
        <w:gridCol w:w="712"/>
        <w:gridCol w:w="625"/>
        <w:gridCol w:w="628"/>
        <w:gridCol w:w="211"/>
        <w:gridCol w:w="826"/>
        <w:gridCol w:w="109"/>
        <w:gridCol w:w="109"/>
        <w:gridCol w:w="109"/>
        <w:gridCol w:w="109"/>
        <w:gridCol w:w="211"/>
        <w:gridCol w:w="826"/>
        <w:gridCol w:w="154"/>
      </w:tblGrid>
      <w:tr>
        <w:trPr/>
        <w:tc>
          <w:tcPr>
            <w:tcW w:w="712"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1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Trokendi XR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Oxtellar XR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GOCOVRI</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Qelbree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APOKYN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product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72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spacing w:lineRule="auto" w:line="268" w:before="0" w:after="0"/>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Includes net product sales of MYOBLOC, XADAGO and Osmolex ER.</w:t>
      </w:r>
    </w:p>
    <w:p>
      <w:pPr>
        <w:pStyle w:val="TextBody"/>
        <w:spacing w:before="0" w:after="0"/>
        <w:ind w:left="0" w:right="0" w:firstLine="720"/>
        <w:rPr/>
      </w:pPr>
      <w:r>
        <w:rPr/>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Trokendi XR accounted for 25% and 43% of the Company’s total net product sales for the three months ended March 31, 2023 and 2022, respectively.</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Each of our three major customers, AmerisourceBergen Drug Corporation, Cardinal Health, Inc. and McKesson Corporation, individually accounted for more than 20% of our total net product sales and collectively accounted for more than 75% of our total net product sales in 2023 and 2022.</w:t>
      </w:r>
    </w:p>
    <w:p>
      <w:pPr>
        <w:pStyle w:val="TextBody"/>
        <w:spacing w:lineRule="auto" w:line="288" w:before="200" w:after="200"/>
        <w:ind w:left="0" w:right="0" w:firstLine="720"/>
        <w:rPr/>
      </w:pPr>
      <w:r>
        <w:rPr>
          <w:rFonts w:ascii="Times New Roman;sans-serif" w:hAnsi="Times New Roman;sans-serif"/>
          <w:b w:val="false"/>
          <w:color w:val="000000"/>
          <w:sz w:val="20"/>
        </w:rPr>
        <w:t xml:space="preserve">The Company recognized noncash royalty revenue of $2.3 million and $2.2 million for the three months ended March 31, 2023 and 2022, respectively. Refer to Note 15,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pPr>
      <w:r>
        <w:rPr>
          <w:rFonts w:ascii="Times New Roman;sans-serif" w:hAnsi="Times New Roman;sans-serif"/>
          <w:b/>
          <w:color w:val="000000"/>
          <w:sz w:val="20"/>
        </w:rPr>
        <w:t>4</w:t>
      </w:r>
      <w:r>
        <w:rPr>
          <w:rFonts w:ascii="Times New Roman;sans-serif" w:hAnsi="Times New Roman;sans-serif"/>
          <w:b w:val="false"/>
          <w:color w:val="000000"/>
          <w:sz w:val="20"/>
        </w:rPr>
        <w:t xml:space="preserve">. </w:t>
      </w:r>
      <w:r>
        <w:rPr>
          <w:rFonts w:ascii="Times New Roman;sans-serif" w:hAnsi="Times New Roman;sans-serif"/>
          <w:b/>
          <w:color w:val="000000"/>
          <w:sz w:val="20"/>
        </w:rPr>
        <w:t xml:space="preserve">Investments </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Marketable Securities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Unrestricted available-for-sale marketable securities held by the Company are as follows, (dollars in thousands):</w:t>
      </w:r>
    </w:p>
    <w:tbl>
      <w:tblPr>
        <w:tblW w:w="8859" w:type="dxa"/>
        <w:jc w:val="left"/>
        <w:tblInd w:w="0" w:type="dxa"/>
        <w:tblCellMar>
          <w:top w:w="28" w:type="dxa"/>
          <w:left w:w="28" w:type="dxa"/>
          <w:bottom w:w="28" w:type="dxa"/>
          <w:right w:w="28" w:type="dxa"/>
        </w:tblCellMar>
      </w:tblPr>
      <w:tblGrid>
        <w:gridCol w:w="2075"/>
        <w:gridCol w:w="1824"/>
        <w:gridCol w:w="1830"/>
        <w:gridCol w:w="232"/>
        <w:gridCol w:w="908"/>
        <w:gridCol w:w="119"/>
        <w:gridCol w:w="109"/>
        <w:gridCol w:w="109"/>
        <w:gridCol w:w="109"/>
        <w:gridCol w:w="273"/>
        <w:gridCol w:w="1072"/>
        <w:gridCol w:w="199"/>
      </w:tblGrid>
      <w:tr>
        <w:trPr/>
        <w:tc>
          <w:tcPr>
            <w:tcW w:w="2075" w:type="dxa"/>
            <w:tcBorders/>
            <w:shd w:fill="auto" w:val="clear"/>
            <w:vAlign w:val="center"/>
          </w:tcPr>
          <w:p>
            <w:pPr>
              <w:pStyle w:val="TableContents"/>
              <w:spacing w:before="0" w:after="283"/>
              <w:rPr>
                <w:sz w:val="4"/>
                <w:szCs w:val="4"/>
              </w:rPr>
            </w:pPr>
            <w:r>
              <w:rPr>
                <w:sz w:val="4"/>
                <w:szCs w:val="4"/>
              </w:rPr>
            </w:r>
          </w:p>
        </w:tc>
        <w:tc>
          <w:tcPr>
            <w:tcW w:w="1824" w:type="dxa"/>
            <w:tcBorders/>
            <w:shd w:fill="auto" w:val="clear"/>
            <w:vAlign w:val="center"/>
          </w:tcPr>
          <w:p>
            <w:pPr>
              <w:pStyle w:val="TableContents"/>
              <w:spacing w:before="0" w:after="283"/>
              <w:rPr>
                <w:sz w:val="4"/>
                <w:szCs w:val="4"/>
              </w:rPr>
            </w:pPr>
            <w:r>
              <w:rPr>
                <w:sz w:val="4"/>
                <w:szCs w:val="4"/>
              </w:rPr>
            </w:r>
          </w:p>
        </w:tc>
        <w:tc>
          <w:tcPr>
            <w:tcW w:w="183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7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r>
      <w:tr>
        <w:trPr/>
        <w:tc>
          <w:tcPr>
            <w:tcW w:w="5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57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U.S. government agency and municipal debt securities</w:t>
            </w:r>
          </w:p>
        </w:tc>
        <w:tc>
          <w:tcPr>
            <w:tcW w:w="12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Amortized cost</w:t>
            </w:r>
          </w:p>
        </w:tc>
        <w:tc>
          <w:tcPr>
            <w:tcW w:w="23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227,331 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466,333 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unrealized gains</w:t>
            </w:r>
          </w:p>
        </w:tc>
        <w:tc>
          <w:tcPr>
            <w:tcW w:w="11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unrealized losses</w:t>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(3,048)</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(4,237)</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7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224,283 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462,110 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contractual maturities of the unrestricted available-for-sale marketable securities held by the Company are as follows, (dollars in thousands):</w:t>
      </w:r>
    </w:p>
    <w:tbl>
      <w:tblPr>
        <w:tblW w:w="2916" w:type="dxa"/>
        <w:jc w:val="left"/>
        <w:tblInd w:w="0" w:type="dxa"/>
        <w:tblCellMar>
          <w:top w:w="28" w:type="dxa"/>
          <w:left w:w="28" w:type="dxa"/>
          <w:bottom w:w="28" w:type="dxa"/>
          <w:right w:w="28" w:type="dxa"/>
        </w:tblCellMar>
      </w:tblPr>
      <w:tblGrid>
        <w:gridCol w:w="624"/>
        <w:gridCol w:w="549"/>
        <w:gridCol w:w="552"/>
        <w:gridCol w:w="211"/>
        <w:gridCol w:w="826"/>
        <w:gridCol w:w="154"/>
      </w:tblGrid>
      <w:tr>
        <w:trPr/>
        <w:tc>
          <w:tcPr>
            <w:tcW w:w="624"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r>
      <w:tr>
        <w:trPr/>
        <w:tc>
          <w:tcPr>
            <w:tcW w:w="17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than 1 year</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year to 2 years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years to 3 years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years to 4 years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Greater than 4 years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224,283 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there was no impairment due to credit loss on any available-for-sale marketable securities. </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Investment in Navitor</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Development Agreement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April 2020, the Company entered into a development agreement (the Development Agreement) with Navitor Pharmaceuticals, Inc. (Navitor Inc.). The Company can terminate the Development Agreement upon 30 days' notice. Under the terms of the Development Agreement, the Company and Navitor Inc. will jointly conduct a Phase II clinical program for NV-5138 (SPN-820) for treatment-resistant depression. The Company will bear all of the Phase I and Phase II development costs incurred by either party, up to a maximum of $50 million. In addition, the Company will incur certain other research and development support costs. There are certain additional payment amounts which could be incurred by the Company. These costs are contingent upon Navitor Inc. achieving defined development milestones. The Company has an option to acquire or license NV-5138 (SPN-820), for which additional payments would be required.</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Equity investment</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entering into the Development Agreement in April 2020, the Company acquired Series D Preferred Shares of Navitor Inc. for $15 million, representing an approximately 13% ownership position in Navitor Inc.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March 2021, Navitor Inc. underwent a legal restructuring. In the restructuring, Navitor Inc. became a wholly owned subsidiary of a newly formed limited liability company, Navitor Pharmaceuticals LLC (Navitor LLC), and the outstanding shares of stock in Navitor Inc. were exchanged for units of membership in Navitor LLC having equivalent rights and preferences (Navitor Restructuring). As part of the Navitor Restructuring, the Series D Preferred Shares previously held by the Company were exchanged for Series D Preferred Shares in Navitor LLC. In addition, certain assets that did not relate to NV-5138 (SPN-820) were transferred from Navitor Inc. to a newly formed entity that became a separate, wholly owned subsidiary of Navitor LLC.</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determined that Navitor LLC is a VIE. The Company does not consolidate this VIE because the Company lacks the power to direct the activities that most significantly impact Navitor’s economic performance. </w:t>
      </w:r>
    </w:p>
    <w:p>
      <w:pPr>
        <w:pStyle w:val="TextBody"/>
        <w:spacing w:lineRule="auto" w:line="288" w:before="200" w:after="283"/>
        <w:ind w:left="0" w:right="0" w:firstLine="720"/>
        <w:rPr/>
      </w:pPr>
      <w:r>
        <w:rPr>
          <w:rFonts w:ascii="Times New Roman;sans-serif" w:hAnsi="Times New Roman;sans-serif"/>
          <w:b w:val="false"/>
          <w:color w:val="000000"/>
          <w:sz w:val="20"/>
        </w:rPr>
        <w:t xml:space="preserve">Prior to the Navitor Restructuring, the investment was accounted for under the practical expedient allowed for equity securities without readily determinable fair value, which is cost minus impairment plus any changes in observable price changes from an orderly transaction of similar investments in Navitor Inc. Following the legal restructuring and exchange of the preferred shares for member equity units of Navitor LLC, the investment was accounted for under the equity method of accounting due to the Company's ability to exert significant influence over but not control the financial and operating decisions of Navitor LLC. As a result of the change from a cost method investment to an equity method investment, the Company was required to measure its investment initially in accordance with the guidance in ASC 805. The majority of the assets and liabilities recorded in Navitor LLC's financial statements represent working capital items and cash that are being used for research and development purposes and are significantly lower than the Company's investment in Navitor LLC, which created a significant basis difference for the Company's investment in the underlying net assets. The Company determined that substantially all of the fair value of the investment was attributable to a single in-process research and development (IPR&amp;D) asset. As a result, Navitor LLC was not considered a business as defined in ASC 805. In the first quarter of 2021, the $15 million investment, which was previously recorded in </w:t>
      </w:r>
      <w:r>
        <w:rPr>
          <w:rFonts w:ascii="Times New Roman;sans-serif" w:hAnsi="Times New Roman;sans-serif"/>
          <w:b w:val="false"/>
          <w:i/>
          <w:color w:val="000000"/>
          <w:sz w:val="20"/>
        </w:rPr>
        <w:t>Other assets</w:t>
      </w:r>
      <w:r>
        <w:rPr>
          <w:color w:val="000000"/>
        </w:rPr>
        <w:t xml:space="preserve"> </w:t>
      </w:r>
      <w:r>
        <w:rPr>
          <w:rFonts w:ascii="Times New Roman;sans-serif" w:hAnsi="Times New Roman;sans-serif"/>
          <w:b w:val="false"/>
          <w:color w:val="000000"/>
          <w:sz w:val="20"/>
        </w:rPr>
        <w:t xml:space="preserve">in the condensed consolidated balance sheets, was expensed and recorded in </w:t>
      </w:r>
      <w:r>
        <w:rPr>
          <w:rFonts w:ascii="Times New Roman;sans-serif" w:hAnsi="Times New Roman;sans-serif"/>
          <w:b w:val="false"/>
          <w:i/>
          <w:color w:val="000000"/>
          <w:sz w:val="20"/>
        </w:rPr>
        <w:t xml:space="preserve">Research and development expense </w:t>
      </w:r>
      <w:r>
        <w:rPr>
          <w:rFonts w:ascii="Times New Roman;sans-serif" w:hAnsi="Times New Roman;sans-serif"/>
          <w:b w:val="false"/>
          <w:color w:val="000000"/>
          <w:sz w:val="20"/>
        </w:rPr>
        <w:t>in the condensed consolidated statements of earnings</w:t>
      </w:r>
      <w:r>
        <w:rPr>
          <w:rFonts w:ascii="Times New Roman;sans-serif" w:hAnsi="Times New Roman;sans-serif"/>
          <w:b w:val="false"/>
          <w:i/>
          <w:color w:val="000000"/>
          <w:sz w:val="20"/>
        </w:rPr>
        <w:t xml:space="preserve">. </w:t>
      </w:r>
    </w:p>
    <w:p>
      <w:pPr>
        <w:pStyle w:val="TextBody"/>
        <w:spacing w:before="200" w:after="283"/>
        <w:ind w:left="0" w:right="0" w:firstLine="720"/>
        <w:rPr/>
      </w:pPr>
      <w:r>
        <w:rPr/>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ind w:left="0" w:right="0" w:firstLine="720"/>
        <w:rPr/>
      </w:pPr>
      <w:r>
        <w:rPr>
          <w:rFonts w:ascii="Times New Roman;sans-serif" w:hAnsi="Times New Roman;sans-serif"/>
          <w:b w:val="false"/>
          <w:color w:val="000000"/>
          <w:sz w:val="20"/>
        </w:rPr>
        <w:t xml:space="preserve">The Company records its share of the results of Navitor LLC, a private company, on a quarter lag as the financial information of Navitor LLC is not available on a sufficiently timely basis for the Company to apply the equity method of accounting. In December 2021, Navitor LLC sold one of its subsidiaries and distributed cash to its members in accordance with each member's share of the proceeds from the sale. The Company received $12.9 million in December 2021 from Navitor LLC in connection with this sale. As the Company's policy is to record its share of the results in its equity method investment on a quarter lag as previously indicated, the Company recorded the cash amount received in </w:t>
      </w:r>
      <w:r>
        <w:rPr>
          <w:rFonts w:ascii="Times New Roman;sans-serif" w:hAnsi="Times New Roman;sans-serif"/>
          <w:b w:val="false"/>
          <w:i/>
          <w:color w:val="000000"/>
          <w:sz w:val="20"/>
        </w:rPr>
        <w:t>Other current liabilities</w:t>
      </w:r>
      <w:r>
        <w:rPr>
          <w:color w:val="000000"/>
        </w:rPr>
        <w:t xml:space="preserve"> </w:t>
      </w:r>
      <w:r>
        <w:rPr>
          <w:rFonts w:ascii="Times New Roman;sans-serif" w:hAnsi="Times New Roman;sans-serif"/>
          <w:b w:val="false"/>
          <w:color w:val="000000"/>
          <w:sz w:val="20"/>
        </w:rPr>
        <w:t xml:space="preserve">in the consolidated balance sheets as of December 31, 2021. In the first quarter of 2022, the Company determined its estimated share of Navitor LLC's year-end 2021 earnings and recorded a gain of $12.9 million in </w:t>
      </w:r>
      <w:r>
        <w:rPr>
          <w:rFonts w:ascii="Times New Roman;sans-serif" w:hAnsi="Times New Roman;sans-serif"/>
          <w:b w:val="false"/>
          <w:i/>
          <w:color w:val="000000"/>
          <w:sz w:val="20"/>
        </w:rPr>
        <w:t>Interest and other income, net</w:t>
      </w:r>
      <w:r>
        <w:rPr>
          <w:color w:val="000000"/>
        </w:rPr>
        <w:t xml:space="preserve"> </w:t>
      </w:r>
      <w:r>
        <w:rPr>
          <w:rFonts w:ascii="Times New Roman;sans-serif" w:hAnsi="Times New Roman;sans-serif"/>
          <w:b w:val="false"/>
          <w:color w:val="000000"/>
          <w:sz w:val="20"/>
        </w:rPr>
        <w:t xml:space="preserve">in the condensed consolidated statement of earnings.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maximum exposure to losses related to Navitor LLC is a maximum of approximately $50 million in expense for Phase I and Phase II development of NV-5138 (SPN-820), and the cost of other development and formulation activities provided by the Company.</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Subsequent to the Development Agreement entered into in 2020, no additional equity investment has been made or financing has been provided to Navitor LLC.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Times New Roman;sans-serif" w:hAnsi="Times New Roman;sans-serif"/>
          <w:b/>
          <w:color w:val="000000"/>
          <w:sz w:val="20"/>
        </w:rPr>
      </w:pPr>
      <w:r>
        <w:rPr>
          <w:rFonts w:ascii="Times New Roman;sans-serif" w:hAnsi="Times New Roman;sans-serif"/>
          <w:b/>
          <w:color w:val="000000"/>
          <w:sz w:val="20"/>
        </w:rPr>
        <w:t>5.    Fair Value of Financial Measurements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fair value of an asset or liability represents the price that would be received to sell an asset or paid to transfer a liability in an orderly transaction between unrelated market participants.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reports the fair value of assets and liabilities using a three level measurement hierarchy that prioritizes the inputs used to measure fair value. Fair value hierarchy consists of the following three levels: </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 xml:space="preserve">Level 1—Valuations based on unadjusted quoted prices in active markets that are accessible at measurement date for identical assets. </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 xml:space="preserve">Level 2—Valuations based on quoted prices for similar assets or liabilities in active markets, quoted prices for identical or similar assets or liabilities in markets that are not active and model-based valuations in which all significant inputs are observable in the market, either directly or indirectly (e.g., interest rates; yield curves). </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 xml:space="preserve">Level 3—Valuations using significant inputs that are unobservable in the market and inputs that reflect the Company’s own assumptions. These are based on the best information available, including the Company’s own data. </w:t>
      </w:r>
    </w:p>
    <w:p>
      <w:pPr>
        <w:pStyle w:val="TextBody"/>
        <w:spacing w:lineRule="auto" w:line="288" w:before="200" w:after="283"/>
        <w:ind w:left="0" w:right="0" w:firstLine="720"/>
        <w:rPr/>
      </w:pPr>
      <w:r>
        <w:rPr>
          <w:rFonts w:ascii="Times New Roman;sans-serif" w:hAnsi="Times New Roman;sans-serif"/>
          <w:b w:val="false"/>
          <w:color w:val="000000"/>
          <w:sz w:val="20"/>
        </w:rPr>
        <w:t xml:space="preserve">The fair value of the restricted marketable securities is recorded in </w:t>
      </w:r>
      <w:r>
        <w:rPr>
          <w:rFonts w:ascii="Times New Roman;sans-serif" w:hAnsi="Times New Roman;sans-serif"/>
          <w:b w:val="false"/>
          <w:i/>
          <w:color w:val="000000"/>
          <w:sz w:val="20"/>
        </w:rPr>
        <w:t>Other assets</w:t>
      </w:r>
      <w:r>
        <w:rPr>
          <w:color w:val="000000"/>
        </w:rPr>
        <w:t xml:space="preserve"> </w:t>
      </w:r>
      <w:r>
        <w:rPr>
          <w:rFonts w:ascii="Times New Roman;sans-serif" w:hAnsi="Times New Roman;sans-serif"/>
          <w:b w:val="false"/>
          <w:color w:val="000000"/>
          <w:sz w:val="20"/>
        </w:rPr>
        <w:t>on the condensed consolidated balance sheets. There have been no transfers of assets or liabilities into or out of Level 3 of the fair value hierarchy.</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Assets and Liabilities Recorded at Fair Value</w:t>
      </w:r>
    </w:p>
    <w:p>
      <w:pPr>
        <w:pStyle w:val="TextBody"/>
        <w:spacing w:lineRule="auto" w:line="288" w:before="200" w:after="283"/>
        <w:ind w:left="0" w:right="0" w:firstLine="900"/>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that are required to be measured at fair value on a recurring basis are as follows (dollars in thousands):</w:t>
      </w:r>
    </w:p>
    <w:tbl>
      <w:tblPr>
        <w:tblW w:w="10205" w:type="dxa"/>
        <w:jc w:val="left"/>
        <w:tblInd w:w="0" w:type="dxa"/>
        <w:tblCellMar>
          <w:top w:w="28" w:type="dxa"/>
          <w:left w:w="28" w:type="dxa"/>
          <w:bottom w:w="28" w:type="dxa"/>
          <w:right w:w="28" w:type="dxa"/>
        </w:tblCellMar>
      </w:tblPr>
      <w:tblGrid>
        <w:gridCol w:w="1080"/>
        <w:gridCol w:w="919"/>
        <w:gridCol w:w="927"/>
        <w:gridCol w:w="465"/>
        <w:gridCol w:w="1825"/>
        <w:gridCol w:w="240"/>
        <w:gridCol w:w="109"/>
        <w:gridCol w:w="109"/>
        <w:gridCol w:w="109"/>
        <w:gridCol w:w="231"/>
        <w:gridCol w:w="906"/>
        <w:gridCol w:w="119"/>
        <w:gridCol w:w="119"/>
        <w:gridCol w:w="119"/>
        <w:gridCol w:w="119"/>
        <w:gridCol w:w="231"/>
        <w:gridCol w:w="906"/>
        <w:gridCol w:w="119"/>
        <w:gridCol w:w="119"/>
        <w:gridCol w:w="119"/>
        <w:gridCol w:w="119"/>
        <w:gridCol w:w="231"/>
        <w:gridCol w:w="790"/>
        <w:gridCol w:w="175"/>
      </w:tblGrid>
      <w:tr>
        <w:trPr/>
        <w:tc>
          <w:tcPr>
            <w:tcW w:w="1080" w:type="dxa"/>
            <w:tcBorders/>
            <w:shd w:fill="auto" w:val="clear"/>
            <w:vAlign w:val="center"/>
          </w:tcPr>
          <w:p>
            <w:pPr>
              <w:pStyle w:val="TableContents"/>
              <w:spacing w:before="0" w:after="283"/>
              <w:rPr>
                <w:sz w:val="4"/>
                <w:szCs w:val="4"/>
              </w:rPr>
            </w:pPr>
            <w:r>
              <w:rPr>
                <w:sz w:val="4"/>
                <w:szCs w:val="4"/>
              </w:rPr>
            </w:r>
          </w:p>
        </w:tc>
        <w:tc>
          <w:tcPr>
            <w:tcW w:w="919"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182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r>
      <w:tr>
        <w:trPr/>
        <w:tc>
          <w:tcPr>
            <w:tcW w:w="29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2"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Fair Value Measurements as of March 31, 2023 (unaudited) </w:t>
            </w:r>
          </w:p>
        </w:tc>
      </w:tr>
      <w:tr>
        <w:trPr/>
        <w:tc>
          <w:tcPr>
            <w:tcW w:w="29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 Value as of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Level 1</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Level 2</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Level 3</w:t>
            </w:r>
          </w:p>
        </w:tc>
      </w:tr>
      <w:tr>
        <w:trPr/>
        <w:tc>
          <w:tcPr>
            <w:tcW w:w="29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253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5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4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58,442 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6" w:type="dxa"/>
            <w:gridSpan w:val="3"/>
            <w:tcBorders/>
            <w:shd w:fill="auto" w:val="clear"/>
            <w:vAlign w:val="center"/>
          </w:tcPr>
          <w:p>
            <w:pPr>
              <w:pStyle w:val="TableContents"/>
              <w:spacing w:before="0" w:after="283"/>
              <w:rPr>
                <w:sz w:val="4"/>
                <w:szCs w:val="4"/>
              </w:rPr>
            </w:pPr>
            <w:r>
              <w:rPr>
                <w:sz w:val="4"/>
                <w:szCs w:val="4"/>
              </w:rPr>
            </w:r>
          </w:p>
        </w:tc>
        <w:tc>
          <w:tcPr>
            <w:tcW w:w="25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6"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256"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2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403,758 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403,758 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25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municipal debt securities</w:t>
            </w:r>
          </w:p>
        </w:tc>
        <w:tc>
          <w:tcPr>
            <w:tcW w:w="2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170,126 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170,126 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6" w:type="dxa"/>
            <w:gridSpan w:val="3"/>
            <w:tcBorders/>
            <w:shd w:fill="auto" w:val="clear"/>
            <w:vAlign w:val="center"/>
          </w:tcPr>
          <w:p>
            <w:pPr>
              <w:pStyle w:val="TableContents"/>
              <w:spacing w:before="0" w:after="283"/>
              <w:rPr>
                <w:sz w:val="4"/>
                <w:szCs w:val="4"/>
              </w:rPr>
            </w:pPr>
            <w:r>
              <w:rPr>
                <w:sz w:val="4"/>
                <w:szCs w:val="4"/>
              </w:rPr>
            </w:r>
          </w:p>
        </w:tc>
        <w:tc>
          <w:tcPr>
            <w:tcW w:w="25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6"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256"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marketable securities</w:t>
            </w:r>
          </w:p>
        </w:tc>
        <w:tc>
          <w:tcPr>
            <w:tcW w:w="25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municipal debt securities</w:t>
            </w:r>
          </w:p>
        </w:tc>
        <w:tc>
          <w:tcPr>
            <w:tcW w:w="2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54,157 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54,157 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6" w:type="dxa"/>
            <w:gridSpan w:val="3"/>
            <w:tcBorders/>
            <w:shd w:fill="auto" w:val="clear"/>
            <w:vAlign w:val="center"/>
          </w:tcPr>
          <w:p>
            <w:pPr>
              <w:pStyle w:val="TableContents"/>
              <w:spacing w:before="0" w:after="283"/>
              <w:rPr>
                <w:sz w:val="4"/>
                <w:szCs w:val="4"/>
              </w:rPr>
            </w:pPr>
            <w:r>
              <w:rPr>
                <w:sz w:val="4"/>
                <w:szCs w:val="4"/>
              </w:rPr>
            </w:r>
          </w:p>
        </w:tc>
        <w:tc>
          <w:tcPr>
            <w:tcW w:w="25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6"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256" w:type="dxa"/>
            <w:gridSpan w:val="3"/>
            <w:tcBorders/>
            <w:shd w:fill="auto" w:val="clear"/>
            <w:vAlign w:val="center"/>
          </w:tcPr>
          <w:p>
            <w:pPr>
              <w:pStyle w:val="TableContents"/>
              <w:spacing w:before="0" w:after="283"/>
              <w:rPr>
                <w:sz w:val="4"/>
                <w:szCs w:val="4"/>
              </w:rPr>
            </w:pPr>
            <w:r>
              <w:rPr>
                <w:sz w:val="4"/>
                <w:szCs w:val="4"/>
              </w:rPr>
            </w:r>
          </w:p>
        </w:tc>
        <w:tc>
          <w:tcPr>
            <w:tcW w:w="35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53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 restricted (SERP)</w:t>
            </w:r>
          </w:p>
        </w:tc>
        <w:tc>
          <w:tcPr>
            <w:tcW w:w="22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2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at fair value</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686,997 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462,212 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224,785 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253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92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4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53,320 </w:t>
            </w:r>
          </w:p>
        </w:tc>
        <w:tc>
          <w:tcPr>
            <w:tcW w:w="2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53,320 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at fair value</w:t>
            </w:r>
          </w:p>
        </w:tc>
        <w:tc>
          <w:tcPr>
            <w:tcW w:w="4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53,320 </w:t>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53,320 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129"/>
        <w:gridCol w:w="973"/>
        <w:gridCol w:w="980"/>
        <w:gridCol w:w="527"/>
        <w:gridCol w:w="2066"/>
        <w:gridCol w:w="272"/>
        <w:gridCol w:w="109"/>
        <w:gridCol w:w="109"/>
        <w:gridCol w:w="109"/>
        <w:gridCol w:w="211"/>
        <w:gridCol w:w="721"/>
        <w:gridCol w:w="109"/>
        <w:gridCol w:w="109"/>
        <w:gridCol w:w="109"/>
        <w:gridCol w:w="109"/>
        <w:gridCol w:w="211"/>
        <w:gridCol w:w="826"/>
        <w:gridCol w:w="109"/>
        <w:gridCol w:w="109"/>
        <w:gridCol w:w="109"/>
        <w:gridCol w:w="109"/>
        <w:gridCol w:w="211"/>
        <w:gridCol w:w="721"/>
        <w:gridCol w:w="158"/>
      </w:tblGrid>
      <w:tr>
        <w:trPr/>
        <w:tc>
          <w:tcPr>
            <w:tcW w:w="1129"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206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30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1" w:type="dxa"/>
            <w:gridSpan w:val="15"/>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Measurements as of December 31, 2022</w:t>
            </w:r>
          </w:p>
        </w:tc>
      </w:tr>
      <w:tr>
        <w:trPr/>
        <w:tc>
          <w:tcPr>
            <w:tcW w:w="30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Fair Value as of 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pPr>
            <w:r>
              <w:rPr>
                <w:rFonts w:ascii="Times New Roman;sans-serif" w:hAnsi="Times New Roman;sans-serif"/>
                <w:b/>
                <w:sz w:val="16"/>
              </w:rPr>
              <w:br/>
            </w:r>
            <w:r>
              <w:rPr>
                <w:rFonts w:ascii="Times New Roman;sans-serif" w:hAnsi="Times New Roman;sans-serif"/>
                <w:b/>
                <w:color w:val="000000"/>
                <w:sz w:val="16"/>
              </w:rPr>
              <w:t>Level 3</w:t>
            </w:r>
          </w:p>
        </w:tc>
      </w:tr>
      <w:tr>
        <w:trPr/>
        <w:tc>
          <w:tcPr>
            <w:tcW w:w="30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28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5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52,181 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52,181 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securities and funds</w:t>
            </w:r>
          </w:p>
        </w:tc>
        <w:tc>
          <w:tcPr>
            <w:tcW w:w="25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40,939 </w:t>
            </w:r>
          </w:p>
        </w:tc>
        <w:tc>
          <w:tcPr>
            <w:tcW w:w="2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2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municipal debt securities</w:t>
            </w:r>
          </w:p>
        </w:tc>
        <w:tc>
          <w:tcPr>
            <w:tcW w:w="25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368,214 </w:t>
            </w:r>
          </w:p>
        </w:tc>
        <w:tc>
          <w:tcPr>
            <w:tcW w:w="2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368,214 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2" w:type="dxa"/>
            <w:gridSpan w:val="3"/>
            <w:tcBorders/>
            <w:shd w:fill="auto" w:val="clear"/>
            <w:vAlign w:val="center"/>
          </w:tcPr>
          <w:p>
            <w:pPr>
              <w:pStyle w:val="TableContents"/>
              <w:spacing w:before="0" w:after="283"/>
              <w:rPr>
                <w:sz w:val="4"/>
                <w:szCs w:val="4"/>
              </w:rPr>
            </w:pPr>
            <w:r>
              <w:rPr>
                <w:sz w:val="4"/>
                <w:szCs w:val="4"/>
              </w:rPr>
            </w:r>
          </w:p>
        </w:tc>
        <w:tc>
          <w:tcPr>
            <w:tcW w:w="28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marketable securities</w:t>
            </w:r>
          </w:p>
        </w:tc>
        <w:tc>
          <w:tcPr>
            <w:tcW w:w="2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municipal debt securities</w:t>
            </w:r>
          </w:p>
        </w:tc>
        <w:tc>
          <w:tcPr>
            <w:tcW w:w="25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93,896 </w:t>
            </w:r>
          </w:p>
        </w:tc>
        <w:tc>
          <w:tcPr>
            <w:tcW w:w="27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2" w:type="dxa"/>
            <w:gridSpan w:val="3"/>
            <w:tcBorders/>
            <w:shd w:fill="auto" w:val="clear"/>
            <w:vAlign w:val="center"/>
          </w:tcPr>
          <w:p>
            <w:pPr>
              <w:pStyle w:val="TableContents"/>
              <w:spacing w:before="0" w:after="283"/>
              <w:rPr>
                <w:sz w:val="4"/>
                <w:szCs w:val="4"/>
              </w:rPr>
            </w:pPr>
            <w:r>
              <w:rPr>
                <w:sz w:val="4"/>
                <w:szCs w:val="4"/>
              </w:rPr>
            </w:r>
          </w:p>
        </w:tc>
        <w:tc>
          <w:tcPr>
            <w:tcW w:w="28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0" w:type="dxa"/>
            <w:gridSpan w:val="3"/>
            <w:tcBorders/>
            <w:shd w:fill="auto" w:val="clear"/>
            <w:vAlign w:val="center"/>
          </w:tcPr>
          <w:p>
            <w:pPr>
              <w:pStyle w:val="TableContents"/>
              <w:spacing w:before="0" w:after="283"/>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28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 restricted (SERP)</w:t>
            </w:r>
          </w:p>
        </w:tc>
        <w:tc>
          <w:tcPr>
            <w:tcW w:w="259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27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assets at fair value</w:t>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555,726 </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286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08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52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54,967 </w:t>
            </w:r>
          </w:p>
        </w:tc>
        <w:tc>
          <w:tcPr>
            <w:tcW w:w="27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54,967 </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at fair value</w:t>
            </w:r>
          </w:p>
        </w:tc>
        <w:tc>
          <w:tcPr>
            <w:tcW w:w="52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54,967 </w:t>
            </w:r>
          </w:p>
        </w:tc>
        <w:tc>
          <w:tcPr>
            <w:tcW w:w="27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54,967 </w:t>
            </w:r>
          </w:p>
        </w:tc>
        <w:tc>
          <w:tcPr>
            <w:tcW w:w="15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Other Financial Instruments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other financial instruments, including accounts receivable, accounts payable, accrued expenses, and line of credit approximate fair value due to their short-term maturities.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76" w:before="200" w:after="283"/>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Financial Liabilities Recorded at Carrying Value</w:t>
      </w:r>
    </w:p>
    <w:p>
      <w:pPr>
        <w:pStyle w:val="TextBody"/>
        <w:spacing w:lineRule="auto" w:line="276"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carrying value and fair value of the Company's financial liabilities that are not carried at fair value (dollars in thousands): </w:t>
      </w:r>
    </w:p>
    <w:tbl>
      <w:tblPr>
        <w:tblW w:w="8586" w:type="dxa"/>
        <w:jc w:val="left"/>
        <w:tblInd w:w="0" w:type="dxa"/>
        <w:tblCellMar>
          <w:top w:w="28" w:type="dxa"/>
          <w:left w:w="28" w:type="dxa"/>
          <w:bottom w:w="28" w:type="dxa"/>
          <w:right w:w="28" w:type="dxa"/>
        </w:tblCellMar>
      </w:tblPr>
      <w:tblGrid>
        <w:gridCol w:w="695"/>
        <w:gridCol w:w="611"/>
        <w:gridCol w:w="613"/>
        <w:gridCol w:w="229"/>
        <w:gridCol w:w="898"/>
        <w:gridCol w:w="119"/>
        <w:gridCol w:w="109"/>
        <w:gridCol w:w="109"/>
        <w:gridCol w:w="109"/>
        <w:gridCol w:w="290"/>
        <w:gridCol w:w="1135"/>
        <w:gridCol w:w="149"/>
        <w:gridCol w:w="109"/>
        <w:gridCol w:w="109"/>
        <w:gridCol w:w="109"/>
        <w:gridCol w:w="229"/>
        <w:gridCol w:w="898"/>
        <w:gridCol w:w="119"/>
        <w:gridCol w:w="109"/>
        <w:gridCol w:w="109"/>
        <w:gridCol w:w="109"/>
        <w:gridCol w:w="287"/>
        <w:gridCol w:w="1124"/>
        <w:gridCol w:w="209"/>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9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 (Level 2)</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4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net</w:t>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402,500 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401,494 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401,968 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395,959 </w:t>
            </w:r>
          </w:p>
        </w:tc>
        <w:tc>
          <w:tcPr>
            <w:tcW w:w="2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has been estimated based on actual trading information, and quoted prices, both provided by bond traders.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Times New Roman;sans-serif" w:hAnsi="Times New Roman;sans-serif"/>
          <w:b/>
          <w:color w:val="000000"/>
          <w:sz w:val="20"/>
        </w:rPr>
      </w:pPr>
      <w:r>
        <w:rPr>
          <w:rFonts w:ascii="Times New Roman;sans-serif" w:hAnsi="Times New Roman;sans-serif"/>
          <w:b/>
          <w:color w:val="000000"/>
          <w:sz w:val="20"/>
        </w:rPr>
        <w:t>6. Contingent Consideration</w:t>
      </w:r>
    </w:p>
    <w:p>
      <w:pPr>
        <w:pStyle w:val="TextBody"/>
        <w:spacing w:lineRule="auto" w:line="288" w:before="200" w:after="200"/>
        <w:ind w:left="0" w:right="0" w:firstLine="720"/>
        <w:rPr/>
      </w:pPr>
      <w:r>
        <w:rPr>
          <w:rFonts w:ascii="Times New Roman;sans-serif" w:hAnsi="Times New Roman;sans-serif"/>
          <w:b w:val="false"/>
          <w:color w:val="000000"/>
          <w:sz w:val="20"/>
        </w:rPr>
        <w:t xml:space="preserve">The Company's contingent consideration liabilities are related to the USWM Acquisition in 2020 and the Adamas Acquisition in 2021 (each acquisition as defined below). The contingent consideration liabilities are measured at fair value using either a Monte Carlo simulation or the income approach. The Company classifies its contingent consideration liabilities as Level 3 fair value measurements based on the significant unobservable inputs used to estimate fair value. These reflect the inputs and assumptions the Company believes would be made by market participants. Changes in any of those inputs together or in isolation may result in significantly lower or higher fair value measurement. The change in fair value is reported on the consolidated statement of earnings in </w:t>
      </w:r>
      <w:r>
        <w:rPr>
          <w:rFonts w:ascii="Times New Roman;sans-serif" w:hAnsi="Times New Roman;sans-serif"/>
          <w:b w:val="false"/>
          <w:i/>
          <w:color w:val="000000"/>
          <w:sz w:val="20"/>
        </w:rPr>
        <w:t>Contingent consideration (gain) expense</w:t>
      </w:r>
      <w:r>
        <w:rPr>
          <w:rFonts w:ascii="Times New Roman;sans-serif" w:hAnsi="Times New Roman;sans-serif"/>
          <w:b w:val="false"/>
          <w:color w:val="000000"/>
          <w:sz w:val="20"/>
        </w:rPr>
        <w:t>.</w:t>
      </w:r>
    </w:p>
    <w:p>
      <w:pPr>
        <w:pStyle w:val="TextBody"/>
        <w:spacing w:lineRule="auto" w:line="288" w:before="200" w:after="200"/>
        <w:rPr/>
      </w:pPr>
      <w:r>
        <w:rPr>
          <w:rFonts w:ascii="Times New Roman;sans-serif" w:hAnsi="Times New Roman;sans-serif"/>
          <w:b w:val="false"/>
          <w:i/>
          <w:color w:val="000000"/>
          <w:sz w:val="20"/>
        </w:rPr>
        <w:t>USWM Contingent Consideration</w:t>
      </w:r>
      <w:r>
        <w:rPr>
          <w:color w:val="000000"/>
        </w:rPr>
        <w:t xml:space="preserve"> </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9, 2020 (the USWM Closing Date), the Company completed its acquisition of all the outstanding equity of USWM Enterprises, LLC (USWM Enterprises) (USWM Acquisition). The USWM Acquisition included potential additional contingent consideration payments for regulatory and development milestones and sales-based milestones. As of March 31, 2023, the potential contingent consideration payments are up to $85 million, which is comprised of the potential $55 million in regulatory and development milestones and $30 million in sales-based milestones. </w:t>
      </w:r>
    </w:p>
    <w:p>
      <w:pPr>
        <w:pStyle w:val="TextBody"/>
        <w:spacing w:lineRule="auto" w:line="288" w:before="200" w:after="200"/>
        <w:ind w:left="0" w:right="0" w:hanging="360"/>
        <w:rPr/>
      </w:pPr>
      <w:r>
        <w:rPr>
          <w:color w:val="000000"/>
        </w:rPr>
        <w:t>•</w:t>
      </w:r>
      <w:r>
        <w:rPr>
          <w:rFonts w:ascii="Times New Roman;sans-serif" w:hAnsi="Times New Roman;sans-serif"/>
          <w:b w:val="false"/>
          <w:color w:val="000000"/>
          <w:sz w:val="20"/>
        </w:rPr>
        <w:t>Regulatory and development milestones:</w:t>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The potential $55 million in regulatory and development milestones is comprised of (1) $25 million related to the FDA's approval of the SPN-830 NDA and (2) $30 million related to the subsequent commercial product launch. </w:t>
      </w:r>
    </w:p>
    <w:p>
      <w:pPr>
        <w:pStyle w:val="TextBody"/>
        <w:spacing w:lineRule="auto" w:line="288" w:before="200" w:after="200"/>
        <w:ind w:left="0" w:right="0" w:hanging="360"/>
        <w:rPr/>
      </w:pPr>
      <w:r>
        <w:rPr>
          <w:color w:val="000000"/>
        </w:rPr>
        <w:t>•</w:t>
      </w:r>
      <w:r>
        <w:rPr>
          <w:rFonts w:ascii="Times New Roman;sans-serif" w:hAnsi="Times New Roman;sans-serif"/>
          <w:b w:val="false"/>
          <w:color w:val="000000"/>
          <w:sz w:val="20"/>
        </w:rPr>
        <w:t>Sales-based milestones:</w:t>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The potential $30 million sales-based milestone relates to the achievement of certain net product sales of the acquired USWM products in 2023. As of March 31, 2023, the Company assessed that this remaining $30 million sales-based milestone will not be achieved based on net sales projections.</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key assumptions considered in estimating the fair value include the estimated probability and timing of milestone achievement, such as the probability and timing of obtaining regulatory approval, discount rate, the estimated revenue volatility and the estimated amount and timing of projected revenues from the acquired USWM products.</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 $1.7 million gain due to the change in the fair value of the contingent consideration liabilities for the USWM milestones for the three months ended March 31, 2023. The change in the fair value of contingent consideration for USWM milestones was primarily driven by the change in estimated fair value of regulatory and developmental milestones due to the change in timing of milestone achievement and estimated discount rates. </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recorded a $1.7 million expense due to the change in the fair value of the contingent consideration liabilities for the USWM milestones for the three months ended March 31, 2022. The change in the fair value was primarily due to the accretion to the payout amount related to the milestone achieved in the first quarter of 2022.</w:t>
      </w:r>
    </w:p>
    <w:p>
      <w:pPr>
        <w:pStyle w:val="TextBody"/>
        <w:spacing w:lineRule="auto" w:line="288" w:before="200" w:after="200"/>
        <w:rPr>
          <w:rFonts w:ascii="Times New Roman;sans-serif" w:hAnsi="Times New Roman;sans-serif"/>
          <w:b w:val="false"/>
          <w:i/>
          <w:color w:val="000000"/>
          <w:sz w:val="20"/>
        </w:rPr>
      </w:pPr>
      <w:r>
        <w:rPr>
          <w:rFonts w:ascii="Times New Roman;sans-serif" w:hAnsi="Times New Roman;sans-serif"/>
          <w:b w:val="false"/>
          <w:i/>
          <w:color w:val="000000"/>
          <w:sz w:val="20"/>
        </w:rPr>
        <w:t>Adamas Contingent Consideration</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24, 2021 (the Adamas Closing Date), the Company completed its acquisition of all the outstanding equity of Adamas (Adamas Acquisition). The Adamas Acquisition included payment of two non-tradable contingent value rights (CVRs) each of which represents the contractual right to receive a contingent payment upon the achievement of the applicable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aggregate worldwide net product sales of GOCOVRI. </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Each CVR represents the contractual right to receive a contingent payment of $0.50 per share in cash, less any applicable withholding taxes and without interest, upon the achievement of the applicable milestone (each such amount, a Milestone Payment) in accordance with the terms of a Contingent Value Rights Agreement entered into between the Company and American Stock Transfer &amp; Trust Company, LLC, as rights agent, as further defined in the CVR agreement. One Milestone Payment is payable (subject to certain terms and conditions) upon the first occurrence of the achievement of aggregate worldwide net sales of GOCOVRI in excess of $150 million during any consecutive 12-month period ending on or before December 31, 2024 (Milestone 2024). Another Milestone Payment is payable (subject to certain terms and conditions) upon the first occurrence of the achievement of aggregate worldwide net sales of GOCOVRI in excess of $225 million during any consecutive 12-month period ending on or before December 31, 2025 (Milestone 2025 and, together with Milestone 2024, the Milestones). Each Milestone may only be achieved once. The possible outcomes for the contingent consideration range from $0 to $50.9 million on an undiscounted basis.</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key assumptions considered in estimating the fair value of the Adamas sales-based milestones include the estimated revenue projections, volatility, estimated discount rates and risk-free interest rate.</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 $0.1 million expense due to the change in fair value of the contingent consideration liabilities for the CVRs for the three months ended March 31, 2023. The change in fair value of contingent consideration for the sales-based Adamas milestones was primarily due to passage of time and estimated discount rates. </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recorded a $1.1 million gain due to the change in fair value of the contingent consideration liabilities for the CVRs for the three months ended March 31, 2022. The change in fair value was primarily due to changes in market data.</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a reconciliation of the beginning and ending balances related to the contingent consideration for the USWM Acquisition and Adamas Acquisition (dollars in thousands):</w:t>
      </w:r>
    </w:p>
    <w:tbl>
      <w:tblPr>
        <w:tblW w:w="8430" w:type="dxa"/>
        <w:jc w:val="left"/>
        <w:tblInd w:w="0" w:type="dxa"/>
        <w:tblCellMar>
          <w:top w:w="28" w:type="dxa"/>
          <w:left w:w="28" w:type="dxa"/>
          <w:bottom w:w="28" w:type="dxa"/>
          <w:right w:w="28" w:type="dxa"/>
        </w:tblCellMar>
      </w:tblPr>
      <w:tblGrid>
        <w:gridCol w:w="1325"/>
        <w:gridCol w:w="1164"/>
        <w:gridCol w:w="1171"/>
        <w:gridCol w:w="301"/>
        <w:gridCol w:w="1029"/>
        <w:gridCol w:w="155"/>
        <w:gridCol w:w="109"/>
        <w:gridCol w:w="109"/>
        <w:gridCol w:w="109"/>
        <w:gridCol w:w="348"/>
        <w:gridCol w:w="1017"/>
        <w:gridCol w:w="180"/>
        <w:gridCol w:w="109"/>
        <w:gridCol w:w="109"/>
        <w:gridCol w:w="109"/>
        <w:gridCol w:w="211"/>
        <w:gridCol w:w="721"/>
        <w:gridCol w:w="154"/>
      </w:tblGrid>
      <w:tr>
        <w:trPr/>
        <w:tc>
          <w:tcPr>
            <w:tcW w:w="1325"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USWM Acquisition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Adamas Acquisition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46,270 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recognized in earnings</w:t>
            </w:r>
          </w:p>
        </w:tc>
        <w:tc>
          <w:tcPr>
            <w:tcW w:w="13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(1,710)</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 (unaudited)</w:t>
            </w:r>
          </w:p>
        </w:tc>
        <w:tc>
          <w:tcPr>
            <w:tcW w:w="3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44,560 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8,760 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429" w:type="dxa"/>
        <w:jc w:val="left"/>
        <w:tblInd w:w="0" w:type="dxa"/>
        <w:tblCellMar>
          <w:top w:w="28" w:type="dxa"/>
          <w:left w:w="28" w:type="dxa"/>
          <w:bottom w:w="28" w:type="dxa"/>
          <w:right w:w="28" w:type="dxa"/>
        </w:tblCellMar>
      </w:tblPr>
      <w:tblGrid>
        <w:gridCol w:w="1325"/>
        <w:gridCol w:w="1164"/>
        <w:gridCol w:w="1171"/>
        <w:gridCol w:w="301"/>
        <w:gridCol w:w="1029"/>
        <w:gridCol w:w="155"/>
        <w:gridCol w:w="109"/>
        <w:gridCol w:w="109"/>
        <w:gridCol w:w="109"/>
        <w:gridCol w:w="313"/>
        <w:gridCol w:w="1070"/>
        <w:gridCol w:w="161"/>
        <w:gridCol w:w="109"/>
        <w:gridCol w:w="109"/>
        <w:gridCol w:w="109"/>
        <w:gridCol w:w="211"/>
        <w:gridCol w:w="721"/>
        <w:gridCol w:w="154"/>
      </w:tblGrid>
      <w:tr>
        <w:trPr/>
        <w:tc>
          <w:tcPr>
            <w:tcW w:w="1325"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USWM Acquisition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Adamas Acquisition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70,170 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10,307 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auto" w:val="clear"/>
            <w:vAlign w:val="center"/>
          </w:tcPr>
          <w:p>
            <w:pPr>
              <w:pStyle w:val="TableContents"/>
              <w:spacing w:before="0" w:after="283"/>
              <w:rPr>
                <w:sz w:val="4"/>
                <w:szCs w:val="4"/>
              </w:rPr>
            </w:pPr>
            <w:r>
              <w:rPr>
                <w:sz w:val="4"/>
                <w:szCs w:val="4"/>
              </w:rPr>
            </w:r>
          </w:p>
        </w:tc>
        <w:tc>
          <w:tcPr>
            <w:tcW w:w="14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Milestone payments</w:t>
            </w:r>
          </w:p>
        </w:tc>
        <w:tc>
          <w:tcPr>
            <w:tcW w:w="13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fair value recognized in earnings</w:t>
            </w:r>
          </w:p>
        </w:tc>
        <w:tc>
          <w:tcPr>
            <w:tcW w:w="13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 (unaudited)</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paid $25 million in the first quarter of 2022 of which $22.9 million represents the acquisition date fair value of the contingent consideration liability and was reported under cash flows from financing activities. The remaining $2.1 million represents the excess of the acquisition date fair value and was reported under cash flows from operating activities. The amount paid was for the milestone that was due upon the FDA acceptance of the SPN-830 NDA for review, which was achieved in the first quarter of 2022.</w:t>
      </w:r>
    </w:p>
    <w:p>
      <w:pPr>
        <w:pStyle w:val="TextBody"/>
        <w:spacing w:lineRule="auto" w:line="276"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current and long-term portions related to the contingent consideration for the USWM Acquisition and Adamas Acquisition (dollars in thousands):</w:t>
      </w:r>
    </w:p>
    <w:tbl>
      <w:tblPr>
        <w:tblW w:w="9556" w:type="dxa"/>
        <w:jc w:val="left"/>
        <w:tblInd w:w="0" w:type="dxa"/>
        <w:tblCellMar>
          <w:top w:w="28" w:type="dxa"/>
          <w:left w:w="28" w:type="dxa"/>
          <w:bottom w:w="28" w:type="dxa"/>
          <w:right w:w="28" w:type="dxa"/>
        </w:tblCellMar>
      </w:tblPr>
      <w:tblGrid>
        <w:gridCol w:w="2553"/>
        <w:gridCol w:w="2245"/>
        <w:gridCol w:w="2251"/>
        <w:gridCol w:w="211"/>
        <w:gridCol w:w="721"/>
        <w:gridCol w:w="109"/>
        <w:gridCol w:w="109"/>
        <w:gridCol w:w="109"/>
        <w:gridCol w:w="109"/>
        <w:gridCol w:w="221"/>
        <w:gridCol w:w="757"/>
        <w:gridCol w:w="161"/>
      </w:tblGrid>
      <w:tr>
        <w:trPr/>
        <w:tc>
          <w:tcPr>
            <w:tcW w:w="2553" w:type="dxa"/>
            <w:tcBorders/>
            <w:shd w:fill="auto" w:val="clear"/>
            <w:vAlign w:val="center"/>
          </w:tcPr>
          <w:p>
            <w:pPr>
              <w:pStyle w:val="TableContents"/>
              <w:spacing w:before="0" w:after="283"/>
              <w:rPr>
                <w:sz w:val="4"/>
                <w:szCs w:val="4"/>
              </w:rPr>
            </w:pPr>
            <w:r>
              <w:rPr>
                <w:sz w:val="4"/>
                <w:szCs w:val="4"/>
              </w:rPr>
            </w:r>
          </w:p>
        </w:tc>
        <w:tc>
          <w:tcPr>
            <w:tcW w:w="2245" w:type="dxa"/>
            <w:tcBorders/>
            <w:shd w:fill="auto" w:val="clear"/>
            <w:vAlign w:val="center"/>
          </w:tcPr>
          <w:p>
            <w:pPr>
              <w:pStyle w:val="TableContents"/>
              <w:spacing w:before="0" w:after="283"/>
              <w:rPr>
                <w:sz w:val="4"/>
                <w:szCs w:val="4"/>
              </w:rPr>
            </w:pPr>
            <w:r>
              <w:rPr>
                <w:sz w:val="4"/>
                <w:szCs w:val="4"/>
              </w:rPr>
            </w:r>
          </w:p>
        </w:tc>
        <w:tc>
          <w:tcPr>
            <w:tcW w:w="225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04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Reported under the following captions in the condensed consolidated balance sheets:</w:t>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current portion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21,120 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long-term</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33,847 </w:t>
            </w:r>
          </w:p>
        </w:tc>
        <w:tc>
          <w:tcPr>
            <w:tcW w:w="16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54,967 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ind w:left="0" w:right="0" w:hanging="360"/>
        <w:rPr>
          <w:rFonts w:ascii="Times New Roman;sans-serif" w:hAnsi="Times New Roman;sans-serif"/>
          <w:b/>
          <w:color w:val="000000"/>
          <w:sz w:val="20"/>
        </w:rPr>
      </w:pPr>
      <w:r>
        <w:rPr>
          <w:rFonts w:ascii="Times New Roman;sans-serif" w:hAnsi="Times New Roman;sans-serif"/>
          <w:b/>
          <w:color w:val="000000"/>
          <w:sz w:val="20"/>
        </w:rPr>
        <w:t>7.    Intangibles Assets, Net</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gross carrying amounts and related accumulated amortization of intangibles assets (dollars in thousands):</w:t>
      </w:r>
    </w:p>
    <w:tbl>
      <w:tblPr>
        <w:tblW w:w="11150" w:type="dxa"/>
        <w:jc w:val="left"/>
        <w:tblInd w:w="0" w:type="dxa"/>
        <w:tblCellMar>
          <w:top w:w="28" w:type="dxa"/>
          <w:left w:w="28" w:type="dxa"/>
          <w:bottom w:w="28" w:type="dxa"/>
          <w:right w:w="28" w:type="dxa"/>
        </w:tblCellMar>
      </w:tblPr>
      <w:tblGrid>
        <w:gridCol w:w="430"/>
        <w:gridCol w:w="377"/>
        <w:gridCol w:w="379"/>
        <w:gridCol w:w="350"/>
        <w:gridCol w:w="350"/>
        <w:gridCol w:w="351"/>
        <w:gridCol w:w="109"/>
        <w:gridCol w:w="109"/>
        <w:gridCol w:w="109"/>
        <w:gridCol w:w="211"/>
        <w:gridCol w:w="826"/>
        <w:gridCol w:w="109"/>
        <w:gridCol w:w="109"/>
        <w:gridCol w:w="109"/>
        <w:gridCol w:w="109"/>
        <w:gridCol w:w="211"/>
        <w:gridCol w:w="841"/>
        <w:gridCol w:w="109"/>
        <w:gridCol w:w="109"/>
        <w:gridCol w:w="109"/>
        <w:gridCol w:w="109"/>
        <w:gridCol w:w="211"/>
        <w:gridCol w:w="826"/>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4"/>
      </w:tblGrid>
      <w:tr>
        <w:trPr/>
        <w:tc>
          <w:tcPr>
            <w:tcW w:w="430"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7"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07" w:type="dxa"/>
            <w:gridSpan w:val="1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Remaining Weighted</w:t>
              <w:br/>
              <w:t>Average Life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Gross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Net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Gross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 Net</w:t>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in-process research and development</w:t>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subject to amortization:</w:t>
            </w:r>
          </w:p>
        </w:tc>
        <w:tc>
          <w:tcPr>
            <w:tcW w:w="10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developed technology and product rights</w:t>
            </w:r>
          </w:p>
        </w:tc>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549,062 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568,439 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patent defense costs</w:t>
            </w:r>
          </w:p>
        </w:tc>
        <w:tc>
          <w:tcPr>
            <w:tcW w:w="105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(34,385)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 assets</w:t>
            </w:r>
          </w:p>
        </w:tc>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682,497 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(146,857)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702,463 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for intangible assets was $20.0 million and $20.6 million, for the three month periods ended March 31, 2023 and 2022,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spacing w:lineRule="auto" w:line="288" w:before="200" w:after="200"/>
        <w:rPr>
          <w:rFonts w:ascii="Times New Roman;sans-serif" w:hAnsi="Times New Roman;sans-serif"/>
          <w:b w:val="false"/>
          <w:i/>
          <w:color w:val="000000"/>
          <w:sz w:val="20"/>
        </w:rPr>
      </w:pPr>
      <w:r>
        <w:rPr>
          <w:rFonts w:ascii="Times New Roman;sans-serif" w:hAnsi="Times New Roman;sans-serif"/>
          <w:b w:val="false"/>
          <w:i/>
          <w:color w:val="000000"/>
          <w:sz w:val="20"/>
        </w:rPr>
        <w:t>Convertible Senior Notes Due 2023</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0.625% Convertible Senior Notes Due 2023 (2023 Notes), which were issued in March 2018, bore interest at an annual rate of 0.625%, payable semi-annually in arrears on April 1 and October 1 of each year. The total principal amount of 2023 Notes is $402.5 million.</w:t>
      </w:r>
    </w:p>
    <w:p>
      <w:pPr>
        <w:pStyle w:val="TextBody"/>
        <w:spacing w:lineRule="auto" w:line="288" w:before="200" w:after="200"/>
        <w:ind w:left="0" w:right="0" w:firstLine="720"/>
        <w:rPr/>
      </w:pPr>
      <w:r>
        <w:rPr>
          <w:rFonts w:ascii="Times New Roman;sans-serif" w:hAnsi="Times New Roman;sans-serif"/>
          <w:b w:val="false"/>
          <w:color w:val="000000"/>
          <w:sz w:val="20"/>
        </w:rPr>
        <w:t xml:space="preserve">The 2023 Notes matured on April 1, 2023. On March 30, 2023, the Company transferred funds to Wilmington Trust related to the repayment of the 2023 Notes which is presented as </w:t>
      </w:r>
      <w:r>
        <w:rPr>
          <w:rFonts w:ascii="Times New Roman;sans-serif" w:hAnsi="Times New Roman;sans-serif"/>
          <w:b w:val="false"/>
          <w:i/>
          <w:color w:val="000000"/>
          <w:sz w:val="20"/>
        </w:rPr>
        <w:t>Restricted cash</w:t>
      </w:r>
      <w:r>
        <w:rPr>
          <w:color w:val="000000"/>
        </w:rPr>
        <w:t xml:space="preserve"> </w:t>
      </w:r>
      <w:r>
        <w:rPr>
          <w:rFonts w:ascii="Times New Roman;sans-serif" w:hAnsi="Times New Roman;sans-serif"/>
          <w:b w:val="false"/>
          <w:color w:val="000000"/>
          <w:sz w:val="20"/>
        </w:rPr>
        <w:t>on the condensed consolidated balance sheet as of March 31, 2023. On April 1, 2023, the Company paid the total principal amount due of $402.5 million under the 2023 Notes and the remaining outstanding interest due of $1.3 million.</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2023 Notes were issued pursuant to an Indenture between the Company and Wilmington Trust. The Indenture includes customary terms and covenants, including certain events of default upon which the 2023 Notes may be due and payable immediately. The Indenture did not contain any financial or operating covenants, or any restrictions on the payment of dividends, the issuance of other indebtedness, or the issuance or repurchase of securities by the Company. The noteholders also had the option in certain circumstances to convert their 2023 Notes, as further defined in the Indenture, at any time from and including October 1, 2022, until the close of business on the second scheduled trading day immediately before the maturity date. As of March 31, 2023, no 2023 Notes conversions occurred.</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Contemporaneous with the issuance of the 2023 Notes, the Company also entered into separate privately negotiated convertible note hedge transactions (collectively, the Convertible Note Hedge Transactions) with each of the call spread counterparties. The Company issued 402,500 convertible note hedge options. As of March 31, 2023, the Convertible Note Hedges have expired.</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Concurrently with entering into the Convertible Note Hedge Transactions, the Company also entered into separate privately negotiated warrant transactions (collectively, the Warrant Transactions) with each of the call spread counterparties. The Company issued a total of 6,783,939 warrants. The warrants entitle the holder to one share per warrant. The strike price of the Warrant Transactions will initially be $80.91 per share of the Company’s common stock, and is subject to adjustment.</w:t>
      </w:r>
    </w:p>
    <w:p>
      <w:pPr>
        <w:pStyle w:val="TextBody"/>
        <w:spacing w:before="0" w:after="0"/>
        <w:ind w:left="0" w:right="0" w:firstLine="720"/>
        <w:rPr/>
      </w:pPr>
      <w:r>
        <w:rPr/>
      </w:r>
    </w:p>
    <w:p>
      <w:pPr>
        <w:pStyle w:val="TextBody"/>
        <w:spacing w:lineRule="auto" w:line="25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Warrant Transactions were intended to partially offset the cost to the Company of the purchased Convertible Note Hedge Transactions; however, the Warrant Transactions could have a dilutive effect with respect to the Company’s common stock, to the extent that the market price per share of the Company’s common stock, as measured under the terms of the Warrant Transactions, exceeds the strike price of the warrants. The warrants expire in tranches, if unexercised, on or before November 22, 2023.</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liability component of the 2023 Notes consists of the following, (dollars in thousands):</w:t>
      </w:r>
    </w:p>
    <w:tbl>
      <w:tblPr>
        <w:tblW w:w="7314" w:type="dxa"/>
        <w:jc w:val="left"/>
        <w:tblInd w:w="0" w:type="dxa"/>
        <w:tblCellMar>
          <w:top w:w="28" w:type="dxa"/>
          <w:left w:w="28" w:type="dxa"/>
          <w:bottom w:w="28" w:type="dxa"/>
          <w:right w:w="28" w:type="dxa"/>
        </w:tblCellMar>
      </w:tblPr>
      <w:tblGrid>
        <w:gridCol w:w="1680"/>
        <w:gridCol w:w="1473"/>
        <w:gridCol w:w="1497"/>
        <w:gridCol w:w="211"/>
        <w:gridCol w:w="826"/>
        <w:gridCol w:w="109"/>
        <w:gridCol w:w="109"/>
        <w:gridCol w:w="109"/>
        <w:gridCol w:w="109"/>
        <w:gridCol w:w="211"/>
        <w:gridCol w:w="826"/>
        <w:gridCol w:w="154"/>
      </w:tblGrid>
      <w:tr>
        <w:trPr/>
        <w:tc>
          <w:tcPr>
            <w:tcW w:w="1680" w:type="dxa"/>
            <w:tcBorders/>
            <w:shd w:fill="auto" w:val="clear"/>
            <w:vAlign w:val="center"/>
          </w:tcPr>
          <w:p>
            <w:pPr>
              <w:pStyle w:val="TableContents"/>
              <w:spacing w:before="0" w:after="283"/>
              <w:rPr>
                <w:sz w:val="4"/>
                <w:szCs w:val="4"/>
              </w:rPr>
            </w:pPr>
            <w:r>
              <w:rPr>
                <w:sz w:val="4"/>
                <w:szCs w:val="4"/>
              </w:rPr>
            </w:r>
          </w:p>
        </w:tc>
        <w:tc>
          <w:tcPr>
            <w:tcW w:w="1473" w:type="dxa"/>
            <w:tcBorders/>
            <w:shd w:fill="auto" w:val="clear"/>
            <w:vAlign w:val="center"/>
          </w:tcPr>
          <w:p>
            <w:pPr>
              <w:pStyle w:val="TableContents"/>
              <w:spacing w:before="0" w:after="283"/>
              <w:rPr>
                <w:sz w:val="4"/>
                <w:szCs w:val="4"/>
              </w:rPr>
            </w:pPr>
            <w:r>
              <w:rPr>
                <w:sz w:val="4"/>
                <w:szCs w:val="4"/>
              </w:rPr>
            </w:r>
          </w:p>
        </w:tc>
        <w:tc>
          <w:tcPr>
            <w:tcW w:w="14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4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Notes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debt discount and deferred financing costs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carrying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401,968 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00"/>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Uncommitted Demand Secured Line of Credit </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February 8, 2023, the Company entered into a credit line agreement with UBS. The Credit Line provides for a revolving line of credit of up to $150 million, which can be drawn at any time. Any fixed rate borrowing will bear interest at a fixed interest rate, equal to the sum of (i) the UBS Fixed Funding Rate (as defined in the Credit Line) plus (ii) the applicable Percentage Spread established in the Credit Line. Any variable rate borrowing will bear interest at a variable interest rate, equal to the sum of (i) the UBS Variable Rate (as defined in the Credit Line) plus (ii) the applicable Percentage Spread established in the Credit Line.</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Line is secured by a first priority lien and security interest in certain of the Company’s assets, including each account of the Company at UBS Financial Services Inc. (the “Collateral Account”), and other such collateral (collectively, the Collateral), as further defined in the Credit Line. The Company may be required to post additional collateral if the value of the Collateral declines below the required collateral maintenance requirements. </w:t>
      </w:r>
    </w:p>
    <w:p>
      <w:pPr>
        <w:pStyle w:val="TextBody"/>
        <w:spacing w:lineRule="auto" w:line="288" w:before="200" w:after="200"/>
        <w:ind w:left="0" w:right="0" w:firstLine="720"/>
        <w:rPr/>
      </w:pPr>
      <w:r>
        <w:rPr>
          <w:rFonts w:ascii="Times New Roman;sans-serif" w:hAnsi="Times New Roman;sans-serif"/>
          <w:b w:val="false"/>
          <w:color w:val="000000"/>
          <w:sz w:val="20"/>
        </w:rPr>
        <w:t>Upon certain customary events of default,</w:t>
      </w:r>
      <w:r>
        <w:rPr>
          <w:color w:val="000000"/>
        </w:rPr>
        <w:t xml:space="preserve"> </w:t>
      </w:r>
      <w:r>
        <w:rPr>
          <w:rFonts w:ascii="Times New Roman;sans-serif" w:hAnsi="Times New Roman;sans-serif"/>
          <w:b w:val="false"/>
          <w:color w:val="000000"/>
          <w:sz w:val="20"/>
        </w:rPr>
        <w:t>all amounts due under the Credit Line will become immediately due and payable without demand, and UBS has the right, in its discretion, to liquidate, transfer, withdraw or sell all or any part of the Collateral and apply the proceeds to repay any borrowings pursuant to the Credit Line.</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the right to repay any variable rate advance under the Credit Line at any time, in whole or in part, without penalty. The Company may repay any fixed rate advance in whole, but may not repay any fixed rate advance in part. In its discretion and without cause, UBS has the right at any time to demand full or partial payment of amounts borrowed pursuant to the Credit Line and terminate the Credit Line and therefore, the outstanding debt under the Credit Line is classified as a current liability on our condensed consolidated balance sheet as of March 31, 2023.</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March 30, 2023, the Company borrowed $93.0 million under the Credit Line, which bears a variable interest rate. The funds to repay outstanding indebtedness under the 2023 Notes as discussed above under Convertible Senior Notes Due 2023. On March 31, 2023, the Company repaid $14.6 million of the loan under the Credit Line. As of March 31, 2023, the outstanding aggregate principal balance under the Credit Line was $78.4 million and the interest rate was 5.69%.</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9.    Share-Based Payments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Share-based compensation expense is as follows (dollars in thousands):</w:t>
      </w:r>
    </w:p>
    <w:tbl>
      <w:tblPr>
        <w:tblW w:w="5198" w:type="dxa"/>
        <w:jc w:val="left"/>
        <w:tblInd w:w="0" w:type="dxa"/>
        <w:tblCellMar>
          <w:top w:w="28" w:type="dxa"/>
          <w:left w:w="28" w:type="dxa"/>
          <w:bottom w:w="28" w:type="dxa"/>
          <w:right w:w="28" w:type="dxa"/>
        </w:tblCellMar>
      </w:tblPr>
      <w:tblGrid>
        <w:gridCol w:w="1071"/>
        <w:gridCol w:w="939"/>
        <w:gridCol w:w="944"/>
        <w:gridCol w:w="211"/>
        <w:gridCol w:w="616"/>
        <w:gridCol w:w="109"/>
        <w:gridCol w:w="109"/>
        <w:gridCol w:w="109"/>
        <w:gridCol w:w="109"/>
        <w:gridCol w:w="211"/>
        <w:gridCol w:w="616"/>
        <w:gridCol w:w="154"/>
      </w:tblGrid>
      <w:tr>
        <w:trPr/>
        <w:tc>
          <w:tcPr>
            <w:tcW w:w="1071" w:type="dxa"/>
            <w:tcBorders/>
            <w:shd w:fill="auto" w:val="clear"/>
            <w:vAlign w:val="center"/>
          </w:tcPr>
          <w:p>
            <w:pPr>
              <w:pStyle w:val="TableContents"/>
              <w:spacing w:before="0" w:after="283"/>
              <w:rPr>
                <w:sz w:val="4"/>
                <w:szCs w:val="4"/>
              </w:rPr>
            </w:pPr>
            <w:r>
              <w:rPr>
                <w:sz w:val="4"/>
                <w:szCs w:val="4"/>
              </w:rPr>
            </w:r>
          </w:p>
        </w:tc>
        <w:tc>
          <w:tcPr>
            <w:tcW w:w="939" w:type="dxa"/>
            <w:tcBorders/>
            <w:shd w:fill="auto" w:val="clear"/>
            <w:vAlign w:val="center"/>
          </w:tcPr>
          <w:p>
            <w:pPr>
              <w:pStyle w:val="TableContents"/>
              <w:spacing w:before="0" w:after="283"/>
              <w:rPr>
                <w:sz w:val="4"/>
                <w:szCs w:val="4"/>
              </w:rPr>
            </w:pPr>
            <w:r>
              <w:rPr>
                <w:sz w:val="4"/>
                <w:szCs w:val="4"/>
              </w:rPr>
            </w:r>
          </w:p>
        </w:tc>
        <w:tc>
          <w:tcPr>
            <w:tcW w:w="9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5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Stock Option and Stock Appreciation Rights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stock option and stock appreciation rights (SAR) activities:</w:t>
      </w:r>
    </w:p>
    <w:tbl>
      <w:tblPr>
        <w:tblW w:w="7820" w:type="dxa"/>
        <w:jc w:val="left"/>
        <w:tblInd w:w="0" w:type="dxa"/>
        <w:tblCellMar>
          <w:top w:w="28" w:type="dxa"/>
          <w:left w:w="28" w:type="dxa"/>
          <w:bottom w:w="28" w:type="dxa"/>
          <w:right w:w="28" w:type="dxa"/>
        </w:tblCellMar>
      </w:tblPr>
      <w:tblGrid>
        <w:gridCol w:w="1265"/>
        <w:gridCol w:w="1113"/>
        <w:gridCol w:w="1116"/>
        <w:gridCol w:w="488"/>
        <w:gridCol w:w="488"/>
        <w:gridCol w:w="296"/>
        <w:gridCol w:w="109"/>
        <w:gridCol w:w="109"/>
        <w:gridCol w:w="109"/>
        <w:gridCol w:w="253"/>
        <w:gridCol w:w="741"/>
        <w:gridCol w:w="132"/>
        <w:gridCol w:w="109"/>
        <w:gridCol w:w="109"/>
        <w:gridCol w:w="109"/>
        <w:gridCol w:w="373"/>
        <w:gridCol w:w="373"/>
        <w:gridCol w:w="528"/>
      </w:tblGrid>
      <w:tr>
        <w:trPr/>
        <w:tc>
          <w:tcPr>
            <w:tcW w:w="1265"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74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373" w:type="dxa"/>
            <w:tcBorders/>
            <w:shd w:fill="auto" w:val="clear"/>
            <w:vAlign w:val="center"/>
          </w:tcPr>
          <w:p>
            <w:pPr>
              <w:pStyle w:val="TableContents"/>
              <w:spacing w:before="0" w:after="283"/>
              <w:rPr>
                <w:sz w:val="4"/>
                <w:szCs w:val="4"/>
              </w:rPr>
            </w:pPr>
            <w:r>
              <w:rPr>
                <w:sz w:val="4"/>
                <w:szCs w:val="4"/>
              </w:rPr>
            </w:r>
          </w:p>
        </w:tc>
        <w:tc>
          <w:tcPr>
            <w:tcW w:w="528" w:type="dxa"/>
            <w:tcBorders/>
            <w:shd w:fill="auto" w:val="clear"/>
            <w:vAlign w:val="center"/>
          </w:tcPr>
          <w:p>
            <w:pPr>
              <w:pStyle w:val="TableContents"/>
              <w:spacing w:before="0" w:after="283"/>
              <w:rPr>
                <w:sz w:val="4"/>
                <w:szCs w:val="4"/>
              </w:rPr>
            </w:pPr>
            <w:r>
              <w:rPr>
                <w:sz w:val="4"/>
                <w:szCs w:val="4"/>
              </w:rPr>
            </w:r>
          </w:p>
        </w:tc>
      </w:tr>
      <w:tr>
        <w:trPr/>
        <w:tc>
          <w:tcPr>
            <w:tcW w:w="34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Average</w:t>
              <w:br/>
              <w:t>Exercise Price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Term (in years)</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December 31, 2022</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5,797,569 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Granted </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1,069,640 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Exercised </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(151,562)</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Forfeited </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(24,700)</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30.32 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March 31, 2023 (unaudited)</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6,690,947 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r>
      <w:tr>
        <w:trPr/>
        <w:tc>
          <w:tcPr>
            <w:tcW w:w="34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2023 (unaudited):</w:t>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6,690,947 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Exercisable </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4,126,641 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26.40 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w:t>
            </w:r>
          </w:p>
        </w:tc>
      </w:tr>
      <w:tr>
        <w:trPr/>
        <w:tc>
          <w:tcPr>
            <w:tcW w:w="349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w:t>
            </w:r>
          </w:p>
        </w:tc>
        <w:tc>
          <w:tcPr>
            <w:tcW w:w="12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w:t>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5,797,569 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26.99 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w:t>
            </w:r>
          </w:p>
        </w:tc>
      </w:tr>
      <w:tr>
        <w:trPr/>
        <w:tc>
          <w:tcPr>
            <w:tcW w:w="34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w:t>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3,541,395 </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w:t>
            </w:r>
          </w:p>
        </w:tc>
      </w:tr>
    </w:tbl>
    <w:p>
      <w:pPr>
        <w:pStyle w:val="TextBody"/>
        <w:spacing w:lineRule="auto" w:line="288" w:before="200" w:after="283"/>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restricted stock unit (RSU) activities:</w:t>
      </w:r>
    </w:p>
    <w:tbl>
      <w:tblPr>
        <w:tblW w:w="6668" w:type="dxa"/>
        <w:jc w:val="left"/>
        <w:tblInd w:w="0" w:type="dxa"/>
        <w:tblCellMar>
          <w:top w:w="28" w:type="dxa"/>
          <w:left w:w="28" w:type="dxa"/>
          <w:bottom w:w="28" w:type="dxa"/>
          <w:right w:w="28" w:type="dxa"/>
        </w:tblCellMar>
      </w:tblPr>
      <w:tblGrid>
        <w:gridCol w:w="961"/>
        <w:gridCol w:w="846"/>
        <w:gridCol w:w="848"/>
        <w:gridCol w:w="413"/>
        <w:gridCol w:w="413"/>
        <w:gridCol w:w="296"/>
        <w:gridCol w:w="109"/>
        <w:gridCol w:w="109"/>
        <w:gridCol w:w="109"/>
        <w:gridCol w:w="551"/>
        <w:gridCol w:w="1611"/>
        <w:gridCol w:w="402"/>
      </w:tblGrid>
      <w:tr>
        <w:trPr/>
        <w:tc>
          <w:tcPr>
            <w:tcW w:w="961" w:type="dxa"/>
            <w:tcBorders/>
            <w:shd w:fill="auto" w:val="clear"/>
            <w:vAlign w:val="center"/>
          </w:tcPr>
          <w:p>
            <w:pPr>
              <w:pStyle w:val="TableContents"/>
              <w:spacing w:before="0" w:after="283"/>
              <w:rPr>
                <w:sz w:val="4"/>
                <w:szCs w:val="4"/>
              </w:rPr>
            </w:pPr>
            <w:r>
              <w:rPr>
                <w:sz w:val="4"/>
                <w:szCs w:val="4"/>
              </w:rPr>
            </w:r>
          </w:p>
        </w:tc>
        <w:tc>
          <w:tcPr>
            <w:tcW w:w="846" w:type="dxa"/>
            <w:tcBorders/>
            <w:shd w:fill="auto" w:val="clear"/>
            <w:vAlign w:val="center"/>
          </w:tcPr>
          <w:p>
            <w:pPr>
              <w:pStyle w:val="TableContents"/>
              <w:spacing w:before="0" w:after="283"/>
              <w:rPr>
                <w:sz w:val="4"/>
                <w:szCs w:val="4"/>
              </w:rPr>
            </w:pPr>
            <w:r>
              <w:rPr>
                <w:sz w:val="4"/>
                <w:szCs w:val="4"/>
              </w:rPr>
            </w:r>
          </w:p>
        </w:tc>
        <w:tc>
          <w:tcPr>
            <w:tcW w:w="848"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611"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r>
      <w:tr>
        <w:trPr/>
        <w:tc>
          <w:tcPr>
            <w:tcW w:w="26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w:t>
              <w:br/>
              <w:t>RSUs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w:t>
              <w:br/>
              <w:t>Grant Date Fair Value per Share</w:t>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December 31, 2022</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131,960 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32.17 </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227,980 </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38.60 </w:t>
            </w:r>
          </w:p>
        </w:tc>
        <w:tc>
          <w:tcPr>
            <w:tcW w:w="4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(46,361)</w:t>
            </w:r>
          </w:p>
        </w:tc>
        <w:tc>
          <w:tcPr>
            <w:tcW w:w="2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32.20 </w:t>
            </w:r>
          </w:p>
        </w:tc>
        <w:tc>
          <w:tcPr>
            <w:tcW w:w="4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2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32.10 </w:t>
            </w:r>
          </w:p>
        </w:tc>
        <w:tc>
          <w:tcPr>
            <w:tcW w:w="4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March 31, 2023</w:t>
            </w:r>
          </w:p>
        </w:tc>
        <w:tc>
          <w:tcPr>
            <w:tcW w:w="8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308,954 </w:t>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36.91 </w:t>
            </w:r>
          </w:p>
        </w:tc>
        <w:tc>
          <w:tcPr>
            <w:tcW w:w="4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200" w:after="283"/>
        <w:rPr/>
      </w:pPr>
      <w:r>
        <w:rPr/>
      </w:r>
    </w:p>
    <w:p>
      <w:pPr>
        <w:pStyle w:val="TextBody"/>
        <w:spacing w:before="200" w:after="283"/>
        <w:rPr/>
      </w:pPr>
      <w:r>
        <w:rPr/>
      </w:r>
    </w:p>
    <w:p>
      <w:pPr>
        <w:pStyle w:val="TextBody"/>
        <w:spacing w:before="200" w:after="283"/>
        <w:rPr/>
      </w:pPr>
      <w:r>
        <w:rPr/>
      </w:r>
    </w:p>
    <w:p>
      <w:pPr>
        <w:pStyle w:val="TextBody"/>
        <w:spacing w:before="200" w:after="283"/>
        <w:rPr/>
      </w:pPr>
      <w:r>
        <w:rPr/>
      </w:r>
    </w:p>
    <w:p>
      <w:pPr>
        <w:pStyle w:val="TextBody"/>
        <w:spacing w:before="200" w:after="283"/>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Performance Share Units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performance share unit (PSU) activities:</w:t>
      </w:r>
    </w:p>
    <w:tbl>
      <w:tblPr>
        <w:tblW w:w="10205" w:type="dxa"/>
        <w:jc w:val="left"/>
        <w:tblInd w:w="0" w:type="dxa"/>
        <w:tblCellMar>
          <w:top w:w="28" w:type="dxa"/>
          <w:left w:w="28" w:type="dxa"/>
          <w:bottom w:w="28" w:type="dxa"/>
          <w:right w:w="28" w:type="dxa"/>
        </w:tblCellMar>
      </w:tblPr>
      <w:tblGrid>
        <w:gridCol w:w="504"/>
        <w:gridCol w:w="444"/>
        <w:gridCol w:w="445"/>
        <w:gridCol w:w="434"/>
        <w:gridCol w:w="401"/>
        <w:gridCol w:w="276"/>
        <w:gridCol w:w="114"/>
        <w:gridCol w:w="114"/>
        <w:gridCol w:w="114"/>
        <w:gridCol w:w="289"/>
        <w:gridCol w:w="847"/>
        <w:gridCol w:w="149"/>
        <w:gridCol w:w="109"/>
        <w:gridCol w:w="109"/>
        <w:gridCol w:w="109"/>
        <w:gridCol w:w="434"/>
        <w:gridCol w:w="319"/>
        <w:gridCol w:w="276"/>
        <w:gridCol w:w="109"/>
        <w:gridCol w:w="109"/>
        <w:gridCol w:w="109"/>
        <w:gridCol w:w="290"/>
        <w:gridCol w:w="847"/>
        <w:gridCol w:w="149"/>
        <w:gridCol w:w="109"/>
        <w:gridCol w:w="109"/>
        <w:gridCol w:w="109"/>
        <w:gridCol w:w="434"/>
        <w:gridCol w:w="401"/>
        <w:gridCol w:w="276"/>
        <w:gridCol w:w="109"/>
        <w:gridCol w:w="109"/>
        <w:gridCol w:w="109"/>
        <w:gridCol w:w="286"/>
        <w:gridCol w:w="836"/>
        <w:gridCol w:w="218"/>
      </w:tblGrid>
      <w:tr>
        <w:trPr/>
        <w:tc>
          <w:tcPr>
            <w:tcW w:w="504"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1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Performance-Based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Market-Based Units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PSUs </w:t>
            </w:r>
          </w:p>
        </w:tc>
      </w:tr>
      <w:tr>
        <w:trPr/>
        <w:tc>
          <w:tcPr>
            <w:tcW w:w="13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PSUs</w:t>
            </w:r>
          </w:p>
        </w:tc>
        <w:tc>
          <w:tcPr>
            <w:tcW w:w="34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 Fair Value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PSUs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 Fair Value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PSUs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Grant Date Fair Value per Share</w:t>
            </w:r>
          </w:p>
        </w:tc>
      </w:tr>
      <w:tr>
        <w:trPr/>
        <w:tc>
          <w:tcPr>
            <w:tcW w:w="1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December 31, 2022</w:t>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181,750 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29.07 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201,750 </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(30,020)</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29.76 </w:t>
            </w:r>
          </w:p>
        </w:tc>
        <w:tc>
          <w:tcPr>
            <w:tcW w:w="14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(30,020)</w:t>
            </w:r>
          </w:p>
        </w:tc>
        <w:tc>
          <w:tcPr>
            <w:tcW w:w="2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March 31, 2023</w:t>
            </w:r>
          </w:p>
        </w:tc>
        <w:tc>
          <w:tcPr>
            <w:tcW w:w="11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151,730</w:t>
            </w:r>
          </w:p>
        </w:tc>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28.63 </w:t>
            </w:r>
          </w:p>
        </w:tc>
        <w:tc>
          <w:tcPr>
            <w:tcW w:w="1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171,730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forfeited PSU awards during the three months ended March 31, 2023.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Times New Roman;sans-serif" w:hAnsi="Times New Roman;sans-serif"/>
          <w:b/>
          <w:color w:val="000000"/>
          <w:sz w:val="20"/>
        </w:rPr>
      </w:pPr>
      <w:r>
        <w:rPr>
          <w:rFonts w:ascii="Times New Roman;sans-serif" w:hAnsi="Times New Roman;sans-serif"/>
          <w:b/>
          <w:color w:val="000000"/>
          <w:sz w:val="20"/>
        </w:rPr>
        <w:t>10.    Earnings per Share</w:t>
      </w:r>
    </w:p>
    <w:p>
      <w:pPr>
        <w:pStyle w:val="TextBody"/>
        <w:spacing w:lineRule="auto" w:line="256"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Basic earnings per share (EPS) is calculated using the weighted average number of common shares outstanding. Diluted EPS is calculated using the weighted average number of common shares outstanding, including the dilutive effect of the Company’s stock option grants, SARs, RSUs, employee stock purchase plan (ESPP) awards, and the 2023 Notes, as determined per the if-converted method.</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Effect of Convertible Notes and Related Convertible Note Hedges and Warrants</w:t>
      </w:r>
    </w:p>
    <w:p>
      <w:pPr>
        <w:pStyle w:val="TextBody"/>
        <w:spacing w:lineRule="auto" w:line="288" w:before="200" w:after="283"/>
        <w:ind w:left="0" w:right="0" w:firstLine="720"/>
        <w:rPr/>
      </w:pPr>
      <w:r>
        <w:rPr>
          <w:rFonts w:ascii="Times New Roman;sans-serif" w:hAnsi="Times New Roman;sans-serif"/>
          <w:b w:val="false"/>
          <w:color w:val="000000"/>
          <w:sz w:val="20"/>
        </w:rPr>
        <w:t xml:space="preserve">In connection with the issuance of the 2023 Notes, the Company entered into Convertible Note Hedge and Warrant Transactions as described further in Note 8, </w:t>
      </w:r>
      <w:r>
        <w:rPr>
          <w:rFonts w:ascii="Times New Roman;sans-serif" w:hAnsi="Times New Roman;sans-serif"/>
          <w:b w:val="false"/>
          <w:i/>
          <w:color w:val="000000"/>
          <w:sz w:val="20"/>
        </w:rPr>
        <w:t>Debt</w:t>
      </w:r>
      <w:r>
        <w:rPr>
          <w:rFonts w:ascii="Times New Roman;sans-serif" w:hAnsi="Times New Roman;sans-serif"/>
          <w:b w:val="false"/>
          <w:color w:val="000000"/>
          <w:sz w:val="20"/>
        </w:rPr>
        <w:t>. The expected collective impact of the Convertible Note Hedge and Warrant Transactions is to reduce the potential dilution that would occur if the price of the Company's common stock was between the conversion price of $59.33 per share and the strike price of the warrants of $80.91 per share.</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EPS related to the 2023 Notes is calculated using the if-converted method. The number of dilutive shares is based on the initial conversion rate associated with the 2023 Notes. The Convertible Note Hedge and Warrant Transactions are excluded in the calculation of diluted EPS because inclusion would be anti-dilutive. Specifically, the denominator of the diluted EPS calculation excludes the additional shares related to the warrants because the average price of the Company's common stock was less than the strike price of the warrants of $80.91 per share. Prior to actual conversion, the Convertible Note Hedge Transactions are not considered in calculating diluted earnings per share, as their impact would be anti-dilutive. </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above described effect of the 2023 Notes and the related Convertible Note Hedge and Warrant Transactions, the Company also excluded the common stock equivalents of the following outstanding stock-based awards in the calculation of diluted EPS, because their inclusion would be anti-dilutive: </w:t>
      </w:r>
    </w:p>
    <w:tbl>
      <w:tblPr>
        <w:tblW w:w="5043" w:type="dxa"/>
        <w:jc w:val="left"/>
        <w:tblInd w:w="0" w:type="dxa"/>
        <w:tblCellMar>
          <w:top w:w="28" w:type="dxa"/>
          <w:left w:w="28" w:type="dxa"/>
          <w:bottom w:w="28" w:type="dxa"/>
          <w:right w:w="28" w:type="dxa"/>
        </w:tblCellMar>
      </w:tblPr>
      <w:tblGrid>
        <w:gridCol w:w="831"/>
        <w:gridCol w:w="729"/>
        <w:gridCol w:w="734"/>
        <w:gridCol w:w="413"/>
        <w:gridCol w:w="413"/>
        <w:gridCol w:w="175"/>
        <w:gridCol w:w="175"/>
        <w:gridCol w:w="175"/>
        <w:gridCol w:w="175"/>
        <w:gridCol w:w="488"/>
        <w:gridCol w:w="488"/>
        <w:gridCol w:w="247"/>
      </w:tblGrid>
      <w:tr>
        <w:trPr/>
        <w:tc>
          <w:tcPr>
            <w:tcW w:w="831"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25"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22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9"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2294"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525"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525"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auto" w:val="clear"/>
            <w:vAlign w:val="center"/>
          </w:tcPr>
          <w:p>
            <w:pPr>
              <w:pStyle w:val="TableContents"/>
              <w:spacing w:before="0" w:after="283"/>
              <w:rPr>
                <w:sz w:val="4"/>
                <w:szCs w:val="4"/>
              </w:rPr>
            </w:pPr>
            <w:r>
              <w:rPr>
                <w:sz w:val="4"/>
                <w:szCs w:val="4"/>
              </w:rPr>
            </w:r>
          </w:p>
        </w:tc>
        <w:tc>
          <w:tcPr>
            <w:tcW w:w="1001" w:type="dxa"/>
            <w:gridSpan w:val="3"/>
            <w:tcBorders/>
            <w:shd w:fill="auto" w:val="clear"/>
            <w:vAlign w:val="center"/>
          </w:tcPr>
          <w:p>
            <w:pPr>
              <w:pStyle w:val="TableContents"/>
              <w:spacing w:before="0" w:after="283"/>
              <w:rPr>
                <w:sz w:val="4"/>
                <w:szCs w:val="4"/>
              </w:rPr>
            </w:pPr>
            <w:r>
              <w:rPr>
                <w:sz w:val="4"/>
                <w:szCs w:val="4"/>
              </w:rPr>
            </w:r>
          </w:p>
        </w:tc>
        <w:tc>
          <w:tcPr>
            <w:tcW w:w="525" w:type="dxa"/>
            <w:gridSpan w:val="3"/>
            <w:tcBorders/>
            <w:shd w:fill="auto" w:val="clear"/>
            <w:vAlign w:val="center"/>
          </w:tcPr>
          <w:p>
            <w:pPr>
              <w:pStyle w:val="TableContents"/>
              <w:spacing w:before="0" w:after="283"/>
              <w:rPr>
                <w:sz w:val="4"/>
                <w:szCs w:val="4"/>
              </w:rPr>
            </w:pPr>
            <w:r>
              <w:rPr>
                <w:sz w:val="4"/>
                <w:szCs w:val="4"/>
              </w:rPr>
            </w:r>
          </w:p>
        </w:tc>
        <w:tc>
          <w:tcPr>
            <w:tcW w:w="1223" w:type="dxa"/>
            <w:gridSpan w:val="3"/>
            <w:tcBorders/>
            <w:shd w:fill="auto" w:val="clear"/>
            <w:vAlign w:val="center"/>
          </w:tcPr>
          <w:p>
            <w:pPr>
              <w:pStyle w:val="TableContents"/>
              <w:spacing w:before="0" w:after="283"/>
              <w:rPr>
                <w:sz w:val="4"/>
                <w:szCs w:val="4"/>
              </w:rPr>
            </w:pPr>
            <w:r>
              <w:rPr>
                <w:sz w:val="4"/>
                <w:szCs w:val="4"/>
              </w:rPr>
            </w:r>
          </w:p>
        </w:tc>
      </w:tr>
      <w:tr>
        <w:trPr/>
        <w:tc>
          <w:tcPr>
            <w:tcW w:w="22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RSUs, PSUs</w:t>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240,398 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1,067,231 </w:t>
            </w:r>
          </w:p>
        </w:tc>
        <w:tc>
          <w:tcPr>
            <w:tcW w:w="2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7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earnings per share for the three months ended March 31, 2023 and 2022 under the if-converted method (dollars in thousands, except share and per share amounts):</w:t>
      </w:r>
    </w:p>
    <w:tbl>
      <w:tblPr>
        <w:tblW w:w="6577" w:type="dxa"/>
        <w:jc w:val="left"/>
        <w:tblInd w:w="0" w:type="dxa"/>
        <w:tblCellMar>
          <w:top w:w="28" w:type="dxa"/>
          <w:left w:w="28" w:type="dxa"/>
          <w:bottom w:w="28" w:type="dxa"/>
          <w:right w:w="28" w:type="dxa"/>
        </w:tblCellMar>
      </w:tblPr>
      <w:tblGrid>
        <w:gridCol w:w="1385"/>
        <w:gridCol w:w="1217"/>
        <w:gridCol w:w="1223"/>
        <w:gridCol w:w="244"/>
        <w:gridCol w:w="837"/>
        <w:gridCol w:w="109"/>
        <w:gridCol w:w="109"/>
        <w:gridCol w:w="109"/>
        <w:gridCol w:w="109"/>
        <w:gridCol w:w="244"/>
        <w:gridCol w:w="837"/>
        <w:gridCol w:w="154"/>
      </w:tblGrid>
      <w:tr>
        <w:trPr/>
        <w:tc>
          <w:tcPr>
            <w:tcW w:w="1385"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223"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52"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Numerator:</w:t>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earnings </w:t>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After-tax interest expense for 2023 Notes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 for dilutive earnings per share</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basic</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54,380,947 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53,330,837 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1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RSUs and SARs</w:t>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1,289,321 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1,291,782 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w:t>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6,783,936 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6,783,936 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diluted</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62,454,204 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61,406,555 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basic</w:t>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 diluted</w:t>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Times New Roman;sans-serif" w:hAnsi="Times New Roman;sans-serif"/>
          <w:b/>
          <w:color w:val="000000"/>
          <w:sz w:val="20"/>
        </w:rPr>
      </w:pPr>
      <w:r>
        <w:rPr>
          <w:rFonts w:ascii="Times New Roman;sans-serif" w:hAnsi="Times New Roman;sans-serif"/>
          <w:b/>
          <w:color w:val="000000"/>
          <w:sz w:val="20"/>
        </w:rPr>
        <w:t>11.    Income Tax Benefit</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the Company’s income tax benefit for the three months ended March 31, 2023 and 2022 (dollars in thousands):</w:t>
      </w:r>
    </w:p>
    <w:tbl>
      <w:tblPr>
        <w:tblW w:w="4458" w:type="dxa"/>
        <w:jc w:val="left"/>
        <w:tblInd w:w="0" w:type="dxa"/>
        <w:tblCellMar>
          <w:top w:w="28" w:type="dxa"/>
          <w:left w:w="28" w:type="dxa"/>
          <w:bottom w:w="28" w:type="dxa"/>
          <w:right w:w="28" w:type="dxa"/>
        </w:tblCellMar>
      </w:tblPr>
      <w:tblGrid>
        <w:gridCol w:w="592"/>
        <w:gridCol w:w="519"/>
        <w:gridCol w:w="524"/>
        <w:gridCol w:w="211"/>
        <w:gridCol w:w="691"/>
        <w:gridCol w:w="271"/>
        <w:gridCol w:w="109"/>
        <w:gridCol w:w="109"/>
        <w:gridCol w:w="109"/>
        <w:gridCol w:w="211"/>
        <w:gridCol w:w="796"/>
        <w:gridCol w:w="316"/>
      </w:tblGrid>
      <w:tr>
        <w:trPr/>
        <w:tc>
          <w:tcPr>
            <w:tcW w:w="592"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32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16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(7,931)</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(10,893)</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(88.0)</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w:t>
            </w:r>
          </w:p>
        </w:tc>
        <w:tc>
          <w:tcPr>
            <w:tcW w:w="3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before="0" w:after="0"/>
        <w:ind w:left="0" w:right="0" w:firstLine="720"/>
        <w:rPr/>
      </w:pPr>
      <w:r>
        <w:rPr/>
      </w:r>
    </w:p>
    <w:p>
      <w:pPr>
        <w:pStyle w:val="TextBody"/>
        <w:spacing w:lineRule="auto" w:line="288" w:before="0" w:after="0"/>
        <w:ind w:left="0" w:right="0" w:firstLine="720"/>
        <w:rPr/>
      </w:pPr>
      <w:r>
        <w:rPr>
          <w:rFonts w:ascii="Times New Roman;sans-serif" w:hAnsi="Times New Roman;sans-serif"/>
          <w:b w:val="false"/>
          <w:color w:val="000000"/>
          <w:sz w:val="20"/>
        </w:rPr>
        <w:t xml:space="preserve">Income tax benefit of $7.9 million for the three months ended March 31, 2023, as compared to $10.9 million for the three months ended March 31, 2022, decreased mainly due to the tax benefits from Adamas legal entity restructuring in the first quarter of 2022. ASC 740,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(ASC 740), requires an estimate of the annual effective income tax rate for the full year and apply it to pre-tax income (loss) for each interim period, taking into account year-to-date amounts and projected results for the full year. The effective tax rate decrease was mainly due to lower pretax earnings forecasted for 2023. The annual forecasted earnings represents the Company's best estimate as of March 31, 2023 and is subject to changes, which could have a material impact on the effective tax rate in subsequent periods.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12.    Leases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Operating lease assets and lease liabilities as reported on the condensed consolidated balance sheets are as follows (dollars in thousands):</w:t>
      </w:r>
    </w:p>
    <w:p>
      <w:pPr>
        <w:pStyle w:val="TextBody"/>
        <w:spacing w:before="0" w:after="0"/>
        <w:ind w:left="0" w:right="0" w:firstLine="720"/>
        <w:rPr/>
      </w:pPr>
      <w:r>
        <w:rPr/>
      </w:r>
    </w:p>
    <w:tbl>
      <w:tblPr>
        <w:tblW w:w="10205" w:type="dxa"/>
        <w:jc w:val="left"/>
        <w:tblInd w:w="0" w:type="dxa"/>
        <w:tblCellMar>
          <w:top w:w="28" w:type="dxa"/>
          <w:left w:w="28" w:type="dxa"/>
          <w:bottom w:w="28" w:type="dxa"/>
          <w:right w:w="28" w:type="dxa"/>
        </w:tblCellMar>
      </w:tblPr>
      <w:tblGrid>
        <w:gridCol w:w="1239"/>
        <w:gridCol w:w="1091"/>
        <w:gridCol w:w="1101"/>
        <w:gridCol w:w="1110"/>
        <w:gridCol w:w="1110"/>
        <w:gridCol w:w="1113"/>
        <w:gridCol w:w="109"/>
        <w:gridCol w:w="109"/>
        <w:gridCol w:w="109"/>
        <w:gridCol w:w="253"/>
        <w:gridCol w:w="868"/>
        <w:gridCol w:w="131"/>
        <w:gridCol w:w="109"/>
        <w:gridCol w:w="109"/>
        <w:gridCol w:w="109"/>
        <w:gridCol w:w="297"/>
        <w:gridCol w:w="1016"/>
        <w:gridCol w:w="222"/>
      </w:tblGrid>
      <w:tr>
        <w:trPr/>
        <w:tc>
          <w:tcPr>
            <w:tcW w:w="1239" w:type="dxa"/>
            <w:tcBorders/>
            <w:shd w:fill="auto" w:val="clear"/>
            <w:vAlign w:val="center"/>
          </w:tcPr>
          <w:p>
            <w:pPr>
              <w:pStyle w:val="TableContents"/>
              <w:spacing w:before="0" w:after="283"/>
              <w:rPr>
                <w:sz w:val="4"/>
                <w:szCs w:val="4"/>
              </w:rPr>
            </w:pPr>
            <w:r>
              <w:rPr>
                <w:sz w:val="4"/>
                <w:szCs w:val="4"/>
              </w:rPr>
            </w:r>
          </w:p>
        </w:tc>
        <w:tc>
          <w:tcPr>
            <w:tcW w:w="1091" w:type="dxa"/>
            <w:tcBorders/>
            <w:shd w:fill="auto" w:val="clear"/>
            <w:vAlign w:val="center"/>
          </w:tcPr>
          <w:p>
            <w:pPr>
              <w:pStyle w:val="TableContents"/>
              <w:spacing w:before="0" w:after="283"/>
              <w:rPr>
                <w:sz w:val="4"/>
                <w:szCs w:val="4"/>
              </w:rPr>
            </w:pPr>
            <w:r>
              <w:rPr>
                <w:sz w:val="4"/>
                <w:szCs w:val="4"/>
              </w:rPr>
            </w:r>
          </w:p>
        </w:tc>
        <w:tc>
          <w:tcPr>
            <w:tcW w:w="1101"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3"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r>
      <w:tr>
        <w:trPr/>
        <w:tc>
          <w:tcPr>
            <w:tcW w:w="34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Classification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4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assets</w:t>
            </w:r>
          </w:p>
        </w:tc>
        <w:tc>
          <w:tcPr>
            <w:tcW w:w="33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30,022 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28,904 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assets</w:t>
            </w:r>
          </w:p>
        </w:tc>
        <w:tc>
          <w:tcPr>
            <w:tcW w:w="3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28,904 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 portion</w:t>
            </w:r>
          </w:p>
        </w:tc>
        <w:tc>
          <w:tcPr>
            <w:tcW w:w="333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7,576 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6,791 </w:t>
            </w:r>
          </w:p>
        </w:tc>
        <w:tc>
          <w:tcPr>
            <w:tcW w:w="2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long-term</w:t>
            </w:r>
          </w:p>
        </w:tc>
        <w:tc>
          <w:tcPr>
            <w:tcW w:w="333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long-term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36,511 </w:t>
            </w:r>
          </w:p>
        </w:tc>
        <w:tc>
          <w:tcPr>
            <w:tcW w:w="1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35,998 </w:t>
            </w:r>
          </w:p>
        </w:tc>
        <w:tc>
          <w:tcPr>
            <w:tcW w:w="2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liabilities</w:t>
            </w:r>
          </w:p>
        </w:tc>
        <w:tc>
          <w:tcPr>
            <w:tcW w:w="3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44,087 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42,789 </w:t>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Times New Roman;sans-serif" w:hAnsi="Times New Roman;sans-serif"/>
          <w:b/>
          <w:color w:val="000000"/>
          <w:sz w:val="20"/>
        </w:rPr>
      </w:pPr>
      <w:r>
        <w:rPr>
          <w:rFonts w:ascii="Times New Roman;sans-serif" w:hAnsi="Times New Roman;sans-serif"/>
          <w:b/>
          <w:color w:val="000000"/>
          <w:sz w:val="20"/>
        </w:rPr>
        <w:t>13.    Composition of Other Balance Sheet Items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details the composition of other balance sheet items (dollars in thousands for amounts in tables):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Accounts Receivables, Net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Company has reduced accounts receivable by approximately $12.2 million and $13.0 million, respectively. Prompt pay discount and contractual service fees, which were originally recorded as a reduction to revenues, represents estimated amounts not expected to be paid by our customers. The Company's customers are primarily pharmaceutical wholesalers and distributors and specialty pharmacies.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Inventories, Net </w:t>
      </w:r>
    </w:p>
    <w:tbl>
      <w:tblPr>
        <w:tblW w:w="3932" w:type="dxa"/>
        <w:jc w:val="left"/>
        <w:tblInd w:w="0" w:type="dxa"/>
        <w:tblCellMar>
          <w:top w:w="28" w:type="dxa"/>
          <w:left w:w="28" w:type="dxa"/>
          <w:bottom w:w="28" w:type="dxa"/>
          <w:right w:w="28" w:type="dxa"/>
        </w:tblCellMar>
      </w:tblPr>
      <w:tblGrid>
        <w:gridCol w:w="516"/>
        <w:gridCol w:w="453"/>
        <w:gridCol w:w="456"/>
        <w:gridCol w:w="211"/>
        <w:gridCol w:w="721"/>
        <w:gridCol w:w="109"/>
        <w:gridCol w:w="109"/>
        <w:gridCol w:w="109"/>
        <w:gridCol w:w="109"/>
        <w:gridCol w:w="221"/>
        <w:gridCol w:w="757"/>
        <w:gridCol w:w="161"/>
      </w:tblGrid>
      <w:tr>
        <w:trPr/>
        <w:tc>
          <w:tcPr>
            <w:tcW w:w="516"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14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33,975 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35,011 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91,541 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 xml:space="preserve">Property and Equipment, Net </w:t>
      </w:r>
    </w:p>
    <w:tbl>
      <w:tblPr>
        <w:tblW w:w="6556" w:type="dxa"/>
        <w:jc w:val="left"/>
        <w:tblInd w:w="0" w:type="dxa"/>
        <w:tblCellMar>
          <w:top w:w="28" w:type="dxa"/>
          <w:left w:w="28" w:type="dxa"/>
          <w:bottom w:w="28" w:type="dxa"/>
          <w:right w:w="28" w:type="dxa"/>
        </w:tblCellMar>
      </w:tblPr>
      <w:tblGrid>
        <w:gridCol w:w="1467"/>
        <w:gridCol w:w="1287"/>
        <w:gridCol w:w="1295"/>
        <w:gridCol w:w="211"/>
        <w:gridCol w:w="721"/>
        <w:gridCol w:w="109"/>
        <w:gridCol w:w="109"/>
        <w:gridCol w:w="109"/>
        <w:gridCol w:w="109"/>
        <w:gridCol w:w="221"/>
        <w:gridCol w:w="757"/>
        <w:gridCol w:w="161"/>
      </w:tblGrid>
      <w:tr>
        <w:trPr/>
        <w:tc>
          <w:tcPr>
            <w:tcW w:w="1467"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04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 equipment and furniture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12,127 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Construction-in-progress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28,222 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(13,049)</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expense on property and equipment was approximately $0.6 million and $0.7 million for the three months ended March 31, 2023, and 2022, respectively. The Company retired certain fully depreciated property and equipment during the three months ended March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Accounts Payable and Accrued Liabilities</w:t>
      </w:r>
    </w:p>
    <w:tbl>
      <w:tblPr>
        <w:tblW w:w="6766" w:type="dxa"/>
        <w:jc w:val="left"/>
        <w:tblInd w:w="0" w:type="dxa"/>
        <w:tblCellMar>
          <w:top w:w="28" w:type="dxa"/>
          <w:left w:w="28" w:type="dxa"/>
          <w:bottom w:w="28" w:type="dxa"/>
          <w:right w:w="28" w:type="dxa"/>
        </w:tblCellMar>
      </w:tblPr>
      <w:tblGrid>
        <w:gridCol w:w="1543"/>
        <w:gridCol w:w="1355"/>
        <w:gridCol w:w="1361"/>
        <w:gridCol w:w="211"/>
        <w:gridCol w:w="721"/>
        <w:gridCol w:w="109"/>
        <w:gridCol w:w="109"/>
        <w:gridCol w:w="109"/>
        <w:gridCol w:w="109"/>
        <w:gridCol w:w="221"/>
        <w:gridCol w:w="757"/>
        <w:gridCol w:w="161"/>
      </w:tblGrid>
      <w:tr>
        <w:trPr/>
        <w:tc>
          <w:tcPr>
            <w:tcW w:w="1543"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42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sales &amp; marketing</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15,978 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manufacturing expenses</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benefits, &amp; related accruals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Accrued royalties </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R&amp;D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Operating lease liabilities, current portion </w:t>
            </w:r>
            <w:r>
              <w:rPr>
                <w:rFonts w:ascii="Times New Roman;sans-serif" w:hAnsi="Times New Roman;sans-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96,342 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w:t>
      </w:r>
    </w:p>
    <w:p>
      <w:pPr>
        <w:pStyle w:val="TextBody"/>
        <w:spacing w:lineRule="auto" w:line="288"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 xml:space="preserve">Refer to Note 15, </w:t>
      </w:r>
      <w:r>
        <w:rPr>
          <w:rFonts w:ascii="Times New Roman;sans-serif" w:hAnsi="Times New Roman;sans-serif"/>
          <w:b w:val="false"/>
          <w:i/>
          <w:color w:val="000000"/>
          <w:sz w:val="18"/>
        </w:rPr>
        <w:t>Commitments and Contingencies</w:t>
      </w:r>
      <w:r>
        <w:rPr>
          <w:rFonts w:ascii="Times New Roman;sans-serif" w:hAnsi="Times New Roman;sans-serif"/>
          <w:b w:val="false"/>
          <w:color w:val="000000"/>
          <w:sz w:val="18"/>
        </w:rPr>
        <w:t>.</w:t>
      </w:r>
    </w:p>
    <w:p>
      <w:pPr>
        <w:pStyle w:val="TextBody"/>
        <w:spacing w:lineRule="auto" w:line="288" w:before="0" w:after="0"/>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18"/>
        </w:rPr>
        <w:t xml:space="preserve">Refer to Note 12, </w:t>
      </w:r>
      <w:r>
        <w:rPr>
          <w:rFonts w:ascii="Times New Roman;sans-serif" w:hAnsi="Times New Roman;sans-serif"/>
          <w:b w:val="false"/>
          <w:i/>
          <w:color w:val="000000"/>
          <w:sz w:val="18"/>
        </w:rPr>
        <w:t>Leases</w:t>
      </w:r>
      <w:r>
        <w:rPr>
          <w:rFonts w:ascii="Times New Roman;sans-serif" w:hAnsi="Times New Roman;sans-serif"/>
          <w:b w:val="false"/>
          <w:color w:val="000000"/>
          <w:sz w:val="18"/>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Times New Roman;sans-serif" w:hAnsi="Times New Roman;sans-serif"/>
          <w:b w:val="false"/>
          <w:i/>
          <w:color w:val="000000"/>
          <w:sz w:val="20"/>
        </w:rPr>
      </w:pPr>
      <w:r>
        <w:rPr>
          <w:rFonts w:ascii="Times New Roman;sans-serif" w:hAnsi="Times New Roman;sans-serif"/>
          <w:b w:val="false"/>
          <w:i/>
          <w:color w:val="000000"/>
          <w:sz w:val="20"/>
        </w:rPr>
        <w:t>Accrued Product Returns and Rebates</w:t>
      </w:r>
    </w:p>
    <w:tbl>
      <w:tblPr>
        <w:tblW w:w="4749" w:type="dxa"/>
        <w:jc w:val="left"/>
        <w:tblInd w:w="0" w:type="dxa"/>
        <w:tblCellMar>
          <w:top w:w="28" w:type="dxa"/>
          <w:left w:w="28" w:type="dxa"/>
          <w:bottom w:w="28" w:type="dxa"/>
          <w:right w:w="28" w:type="dxa"/>
        </w:tblCellMar>
      </w:tblPr>
      <w:tblGrid>
        <w:gridCol w:w="754"/>
        <w:gridCol w:w="663"/>
        <w:gridCol w:w="668"/>
        <w:gridCol w:w="211"/>
        <w:gridCol w:w="826"/>
        <w:gridCol w:w="109"/>
        <w:gridCol w:w="109"/>
        <w:gridCol w:w="109"/>
        <w:gridCol w:w="109"/>
        <w:gridCol w:w="211"/>
        <w:gridCol w:w="826"/>
        <w:gridCol w:w="154"/>
      </w:tblGrid>
      <w:tr>
        <w:trPr/>
        <w:tc>
          <w:tcPr>
            <w:tcW w:w="754" w:type="dxa"/>
            <w:tcBorders/>
            <w:shd w:fill="auto" w:val="clear"/>
            <w:vAlign w:val="center"/>
          </w:tcPr>
          <w:p>
            <w:pPr>
              <w:pStyle w:val="TableContents"/>
              <w:spacing w:before="0" w:after="283"/>
              <w:rPr>
                <w:sz w:val="4"/>
                <w:szCs w:val="4"/>
              </w:rPr>
            </w:pPr>
            <w:r>
              <w:rPr>
                <w:sz w:val="4"/>
                <w:szCs w:val="4"/>
              </w:rPr>
            </w:r>
          </w:p>
        </w:tc>
        <w:tc>
          <w:tcPr>
            <w:tcW w:w="663"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0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product rebates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product returns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14.    Interest Expense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details the composition of interest expense (dollars in thousands):</w:t>
      </w:r>
    </w:p>
    <w:tbl>
      <w:tblPr>
        <w:tblW w:w="8468" w:type="dxa"/>
        <w:jc w:val="left"/>
        <w:tblInd w:w="0" w:type="dxa"/>
        <w:tblCellMar>
          <w:top w:w="28" w:type="dxa"/>
          <w:left w:w="28" w:type="dxa"/>
          <w:bottom w:w="28" w:type="dxa"/>
          <w:right w:w="28" w:type="dxa"/>
        </w:tblCellMar>
      </w:tblPr>
      <w:tblGrid>
        <w:gridCol w:w="2201"/>
        <w:gridCol w:w="1928"/>
        <w:gridCol w:w="1945"/>
        <w:gridCol w:w="211"/>
        <w:gridCol w:w="691"/>
        <w:gridCol w:w="109"/>
        <w:gridCol w:w="109"/>
        <w:gridCol w:w="109"/>
        <w:gridCol w:w="109"/>
        <w:gridCol w:w="211"/>
        <w:gridCol w:w="691"/>
        <w:gridCol w:w="154"/>
      </w:tblGrid>
      <w:tr>
        <w:trPr/>
        <w:tc>
          <w:tcPr>
            <w:tcW w:w="2201" w:type="dxa"/>
            <w:tcBorders/>
            <w:shd w:fill="auto" w:val="clear"/>
            <w:vAlign w:val="center"/>
          </w:tcPr>
          <w:p>
            <w:pPr>
              <w:pStyle w:val="TableContents"/>
              <w:spacing w:before="0" w:after="283"/>
              <w:rPr>
                <w:sz w:val="4"/>
                <w:szCs w:val="4"/>
              </w:rPr>
            </w:pPr>
            <w:r>
              <w:rPr>
                <w:sz w:val="4"/>
                <w:szCs w:val="4"/>
              </w:rPr>
            </w:r>
          </w:p>
        </w:tc>
        <w:tc>
          <w:tcPr>
            <w:tcW w:w="1928" w:type="dxa"/>
            <w:tcBorders/>
            <w:shd w:fill="auto" w:val="clear"/>
            <w:vAlign w:val="center"/>
          </w:tcPr>
          <w:p>
            <w:pPr>
              <w:pStyle w:val="TableContents"/>
              <w:spacing w:before="0" w:after="283"/>
              <w:rPr>
                <w:sz w:val="4"/>
                <w:szCs w:val="4"/>
              </w:rPr>
            </w:pPr>
            <w:r>
              <w:rPr>
                <w:sz w:val="4"/>
                <w:szCs w:val="4"/>
              </w:rPr>
            </w:r>
          </w:p>
        </w:tc>
        <w:tc>
          <w:tcPr>
            <w:tcW w:w="194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March 31,</w:t>
            </w:r>
          </w:p>
        </w:tc>
      </w:tr>
      <w:tr>
        <w:trPr/>
        <w:tc>
          <w:tcPr>
            <w:tcW w:w="6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0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on nonrecourse liability related to sale of future royalties</w:t>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0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firstLine="720"/>
        <w:rPr/>
      </w:pPr>
      <w:r>
        <w:rPr/>
      </w:r>
    </w:p>
    <w:p>
      <w:pPr>
        <w:pStyle w:val="TextBody"/>
        <w:spacing w:lineRule="auto" w:line="256" w:before="0" w:after="0"/>
        <w:ind w:left="0" w:right="0" w:firstLine="720"/>
        <w:rPr/>
      </w:pPr>
      <w:r>
        <w:rPr>
          <w:rFonts w:ascii="Times New Roman;sans-serif" w:hAnsi="Times New Roman;sans-serif"/>
          <w:b w:val="false"/>
          <w:color w:val="000000"/>
          <w:sz w:val="20"/>
        </w:rPr>
        <w:t>Interest expense includes noncash interest expense related to amortization of deferred financing costs on the 2023 Notes of</w:t>
      </w:r>
      <w:r>
        <w:rPr>
          <w:color w:val="000000"/>
        </w:rPr>
        <w:t xml:space="preserve"> </w:t>
      </w:r>
      <w:r>
        <w:rPr>
          <w:rFonts w:ascii="Times New Roman;sans-serif" w:hAnsi="Times New Roman;sans-serif"/>
          <w:b w:val="false"/>
          <w:color w:val="000000"/>
          <w:sz w:val="20"/>
        </w:rPr>
        <w:t xml:space="preserve">$0.5 million and $0.5 million for the three months ended March 31, 2023 and 2022,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15.    Commitments and Contingencies</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Product Licenses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has obtained exclusive licenses from third parties for proprietary rights to support the product candidates in the Company's CNS portfolio. Under these license agreements, the Company may be required to pay certain amounts upon the achievement of defined milestones. If these products are ultimately commercialized, the Company is also obligated to pay royalties to third parties, computed as a percentage of net product sales, for each respective product under a license agreement.</w:t>
      </w:r>
    </w:p>
    <w:p>
      <w:pPr>
        <w:pStyle w:val="TextBody"/>
        <w:spacing w:lineRule="auto" w:line="276" w:before="200" w:after="283"/>
        <w:ind w:left="0" w:right="0" w:firstLine="720"/>
        <w:rPr/>
      </w:pPr>
      <w:r>
        <w:rPr>
          <w:rFonts w:ascii="Times New Roman;sans-serif" w:hAnsi="Times New Roman;sans-serif"/>
          <w:b w:val="false"/>
          <w:color w:val="000000"/>
          <w:sz w:val="20"/>
        </w:rPr>
        <w:t xml:space="preserve">Through the USWM Acquisition, the Company acquired licensing agreements with other pharmaceutical companies for APOKYN, XADAGO, and MYOBLOC. The Company is obligated to pay royalties to third parties, computed as a percentage of net product sales, for each of the products under the respective license agreements. The royalty expense incurred for these acquired products is recognized as </w:t>
      </w:r>
      <w:r>
        <w:rPr>
          <w:rFonts w:ascii="Times New Roman;sans-serif" w:hAnsi="Times New Roman;sans-serif"/>
          <w:b w:val="false"/>
          <w:i/>
          <w:color w:val="000000"/>
          <w:sz w:val="20"/>
        </w:rPr>
        <w:t>Cost of goods sold</w:t>
      </w:r>
      <w:r>
        <w:rPr>
          <w:color w:val="000000"/>
        </w:rPr>
        <w:t xml:space="preserve"> </w:t>
      </w:r>
      <w:r>
        <w:rPr>
          <w:rFonts w:ascii="Times New Roman;sans-serif" w:hAnsi="Times New Roman;sans-serif"/>
          <w:b w:val="false"/>
          <w:color w:val="000000"/>
          <w:sz w:val="20"/>
        </w:rPr>
        <w:t xml:space="preserve">in the condensed consolidated statements of earnings. </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Royalty Agreement</w:t>
      </w:r>
    </w:p>
    <w:p>
      <w:pPr>
        <w:pStyle w:val="TextBody"/>
        <w:spacing w:lineRule="auto" w:line="288" w:before="200" w:after="283"/>
        <w:ind w:left="0" w:right="0" w:firstLine="720"/>
        <w:rPr/>
      </w:pPr>
      <w:r>
        <w:rPr>
          <w:rFonts w:ascii="Times New Roman;sans-serif" w:hAnsi="Times New Roman;sans-serif"/>
          <w:b w:val="false"/>
          <w:color w:val="000000"/>
          <w:sz w:val="20"/>
        </w:rPr>
        <w:t xml:space="preserve">In the third quarter of 2014, the Company received $30 million pursuant to a Royalty Interest Acquisition Agreement related to the purchase by HC Royalty of certain of the Company's rights under the Company's agreement with United Therapeutics related to the commercialization of Orenitram (treprostinil) Extended-Release Tablets. Full ownership of the royalty rights will revert to the Company if and when a certain cumulative payment threshold is reached, which is expected to occur in 2023 (see Note 2, </w:t>
      </w:r>
      <w:r>
        <w:rPr>
          <w:rFonts w:ascii="Times New Roman;sans-serif" w:hAnsi="Times New Roman;sans-serif"/>
          <w:b w:val="false"/>
          <w:i/>
          <w:color w:val="000000"/>
          <w:sz w:val="20"/>
        </w:rPr>
        <w:t>Summary of</w:t>
      </w:r>
      <w:r>
        <w:rPr>
          <w:color w:val="000000"/>
        </w:rPr>
        <w:t xml:space="preserve"> </w:t>
      </w:r>
      <w:r>
        <w:rPr>
          <w:rFonts w:ascii="Times New Roman;sans-serif" w:hAnsi="Times New Roman;sans-serif"/>
          <w:b w:val="false"/>
          <w:i/>
          <w:color w:val="000000"/>
          <w:sz w:val="20"/>
        </w:rPr>
        <w:t>Significant Accounting Policies - Royalty Revenues</w:t>
      </w:r>
      <w:r>
        <w:rPr>
          <w:color w:val="000000"/>
        </w:rPr>
        <w:t xml:space="preserve"> </w:t>
      </w:r>
      <w:r>
        <w:rPr>
          <w:rFonts w:ascii="Times New Roman;sans-serif" w:hAnsi="Times New Roman;sans-serif"/>
          <w:b w:val="false"/>
          <w:color w:val="000000"/>
          <w:sz w:val="20"/>
        </w:rPr>
        <w:t xml:space="preserve">and Note 3, </w:t>
      </w:r>
      <w:r>
        <w:rPr>
          <w:rFonts w:ascii="Times New Roman;sans-serif" w:hAnsi="Times New Roman;sans-serif"/>
          <w:b w:val="false"/>
          <w:i/>
          <w:color w:val="000000"/>
          <w:sz w:val="20"/>
        </w:rPr>
        <w:t>Disaggregated Revenues</w:t>
      </w:r>
      <w:r>
        <w:rPr>
          <w:rFonts w:ascii="Times New Roman;sans-serif" w:hAnsi="Times New Roman;sans-serif"/>
          <w:b w:val="false"/>
          <w:color w:val="000000"/>
          <w:sz w:val="20"/>
        </w:rPr>
        <w:t>).</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Nonrecourse liability related to sale of future royalties as reported in the condensed consolidated balance sheets are as follows (dollars in thousands):</w:t>
      </w:r>
    </w:p>
    <w:tbl>
      <w:tblPr>
        <w:tblW w:w="10205" w:type="dxa"/>
        <w:jc w:val="left"/>
        <w:tblInd w:w="0" w:type="dxa"/>
        <w:tblCellMar>
          <w:top w:w="28" w:type="dxa"/>
          <w:left w:w="28" w:type="dxa"/>
          <w:bottom w:w="28" w:type="dxa"/>
          <w:right w:w="28" w:type="dxa"/>
        </w:tblCellMar>
      </w:tblPr>
      <w:tblGrid>
        <w:gridCol w:w="1966"/>
        <w:gridCol w:w="1724"/>
        <w:gridCol w:w="1742"/>
        <w:gridCol w:w="681"/>
        <w:gridCol w:w="681"/>
        <w:gridCol w:w="683"/>
        <w:gridCol w:w="109"/>
        <w:gridCol w:w="109"/>
        <w:gridCol w:w="109"/>
        <w:gridCol w:w="212"/>
        <w:gridCol w:w="621"/>
        <w:gridCol w:w="109"/>
        <w:gridCol w:w="109"/>
        <w:gridCol w:w="109"/>
        <w:gridCol w:w="109"/>
        <w:gridCol w:w="242"/>
        <w:gridCol w:w="708"/>
        <w:gridCol w:w="182"/>
      </w:tblGrid>
      <w:tr>
        <w:trPr/>
        <w:tc>
          <w:tcPr>
            <w:tcW w:w="1966" w:type="dxa"/>
            <w:tcBorders/>
            <w:shd w:fill="auto" w:val="clear"/>
            <w:vAlign w:val="center"/>
          </w:tcPr>
          <w:p>
            <w:pPr>
              <w:pStyle w:val="TableContents"/>
              <w:spacing w:before="0" w:after="283"/>
              <w:rPr>
                <w:sz w:val="4"/>
                <w:szCs w:val="4"/>
              </w:rPr>
            </w:pPr>
            <w:r>
              <w:rPr>
                <w:sz w:val="4"/>
                <w:szCs w:val="4"/>
              </w:rPr>
            </w:r>
          </w:p>
        </w:tc>
        <w:tc>
          <w:tcPr>
            <w:tcW w:w="1724" w:type="dxa"/>
            <w:tcBorders/>
            <w:shd w:fill="auto" w:val="clear"/>
            <w:vAlign w:val="center"/>
          </w:tcPr>
          <w:p>
            <w:pPr>
              <w:pStyle w:val="TableContents"/>
              <w:spacing w:before="0" w:after="283"/>
              <w:rPr>
                <w:sz w:val="4"/>
                <w:szCs w:val="4"/>
              </w:rPr>
            </w:pPr>
            <w:r>
              <w:rPr>
                <w:sz w:val="4"/>
                <w:szCs w:val="4"/>
              </w:rPr>
            </w:r>
          </w:p>
        </w:tc>
        <w:tc>
          <w:tcPr>
            <w:tcW w:w="1742"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2"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r>
      <w:tr>
        <w:trPr/>
        <w:tc>
          <w:tcPr>
            <w:tcW w:w="5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5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Balance Sheet 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3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20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3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Nonrecourse liability related to sale of future royalties, current portion</w:t>
            </w:r>
          </w:p>
        </w:tc>
        <w:tc>
          <w:tcPr>
            <w:tcW w:w="204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5,989 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USWM Enterprise Commitments Assumed</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USWM Acquisition, the Company assumed the remaining commitments of USWM Enterprises and its subsidiaries, which are discussed below.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assumed the annual minimum purchase requirement of MYOBLOC, amounting to an estimated €3.9 million annually, under the contract manufacturing agreement with Merz for manufacture and supply.</w:t>
      </w:r>
    </w:p>
    <w:p>
      <w:pPr>
        <w:pStyle w:val="TextBody"/>
        <w:spacing w:lineRule="auto" w:line="26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MDD US Operations, LLC (formerly US WorldMeds, LLC) and its subsidiary, Solstice Neurosciences, LLC (US) (collectively, the MDD Subsidiaries) entered into a Corporate Integrity Agreement (CIA) with the Office of Inspector General of the U.S. Department of Health and Human Services which was effective in April 2019. Under the CIA, the MDD Subsidiaries agreed to and paid $17.5 million to resolve U.S. Department of Justice allegations that it violated the False Claims Act and </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68" w:before="200" w:after="283"/>
        <w:rPr>
          <w:rFonts w:ascii="Times New Roman;sans-serif" w:hAnsi="Times New Roman;sans-serif"/>
          <w:b w:val="false"/>
          <w:color w:val="000000"/>
          <w:sz w:val="20"/>
        </w:rPr>
      </w:pPr>
      <w:r>
        <w:rPr>
          <w:rFonts w:ascii="Times New Roman;sans-serif" w:hAnsi="Times New Roman;sans-serif"/>
          <w:b w:val="false"/>
          <w:color w:val="000000"/>
          <w:sz w:val="20"/>
        </w:rPr>
        <w:t>committed to the establishment and ongoing maintenance of an effective compliance program. The fine was paid by the MDD Subsidiaries prior to closing of the USWM Acquisition. As part of the USWM Acquisition, the Company assumed the obligations of the CIA and could become liable for payment of certain stipulated monetary penalties in the event of any CIA violations. In addition, the Company will continue to maintain a broad array of processes, policies and procedures necessary to comply with the CIA through March 2024.</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Data Breach-related Contingency</w:t>
      </w:r>
    </w:p>
    <w:p>
      <w:pPr>
        <w:pStyle w:val="TextBody"/>
        <w:spacing w:lineRule="auto" w:line="26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November 24, 2021, the Company announced that we were the target of a ransomware attack. The attack had no significant impact on our business and did not cause any long-term disruption to our operations. Based on its internal investigation, the Company believes the criminal ransomware groups ("criminal groups") copied certain data from our systems, encrypted certain data on the Company's systems, and then deployed malware designed to impede access to our systems. Thereafter the criminal groups contacted the Company and threatened to publish certain data copied from the Company's systems. Upon detection of the ransomware attack, the Company notified government authorities, engaged third-party cybersecurity experts through our outside counsel, and commenced its recovery process. The Company maintains redundant off-site data backups, which were verified to have not been compromised by the ransomware attack and were utilized to restore the data encrypted by the criminal groups. In the fourth quarter of 2021, the Company had successfully recovered the impacted files and took additional steps designed to further protect its networks and files.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while the Company has not been the subject of any legal proceedings involving the attack, the likelihood that the Company could be the subject of claims from persons alleging they suffered damages from the incident, or actions by governmental authorities is possible, but the amount of such fines, penalties or costs, if any, cannot be estimated at this time. The Company continues to monitor the situation. </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Claims and Litigation</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involved in various claims, litigation and legal proceedings. These matters may involve patent litigation, product liability and other product-related litigation, commercial and other matters, and government investigations, among others.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will accrue a liability for the estimated loss. Because of uncertainties related to claims, legal proceedings and litigation, accruals will be based on the Company's best estimates based on available information. The Company does not believe that any of these matters will have a material adverse effect on our financial position. The Company may reassess the potential liability related to these matters and may revise these estimates. The process of resolving matters through litigation or other means is inherently uncertain and it is possible that an unfavorable resolution of these matters will adversely affect the Company, its results of operations, financial condition and cash flows.</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NAMENDA XR/Namzaric Qui Tam Litigation </w:t>
      </w:r>
    </w:p>
    <w:p>
      <w:pPr>
        <w:pStyle w:val="TextBody"/>
        <w:spacing w:lineRule="auto" w:line="288" w:before="200" w:after="283"/>
        <w:ind w:left="0" w:right="0" w:firstLine="720"/>
        <w:rPr/>
      </w:pPr>
      <w:r>
        <w:rPr>
          <w:rFonts w:ascii="Times New Roman;sans-serif" w:hAnsi="Times New Roman;sans-serif"/>
          <w:b w:val="false"/>
          <w:color w:val="000000"/>
          <w:sz w:val="20"/>
        </w:rPr>
        <w:t xml:space="preserve">On April 1, 2019, Adamas was served with a complaint filed in the United States District Court for the Northern District of California (the District Court) (Case No. 3:18-cv-03018-JCS) against it and several Allergan entities alleging violations of federal and state false claims acts (FCA) in connection with the commercialization of NAMENDA XR and Namzaric by Allergan. The lawsuit is a </w:t>
      </w:r>
      <w:r>
        <w:rPr>
          <w:rFonts w:ascii="Times New Roman;sans-serif" w:hAnsi="Times New Roman;sans-serif"/>
          <w:b w:val="false"/>
          <w:i/>
          <w:color w:val="000000"/>
          <w:sz w:val="20"/>
        </w:rPr>
        <w:t>qui tam</w:t>
      </w:r>
      <w:r>
        <w:rPr>
          <w:color w:val="000000"/>
        </w:rPr>
        <w:t xml:space="preserve"> </w:t>
      </w:r>
      <w:r>
        <w:rPr>
          <w:rFonts w:ascii="Times New Roman;sans-serif" w:hAnsi="Times New Roman;sans-serif"/>
          <w:b w:val="false"/>
          <w:color w:val="000000"/>
          <w:sz w:val="20"/>
        </w:rPr>
        <w:t>complaint brought by an individual,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 being charged to government payors. Adamas' patents in question were licensed exclusively to Forest Laboratories Holdings Limited.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 to dismiss the complaint. The appeal is pending in the United States Court of Appeals for the Ninth Circuit (Case No. 21-80005). Argument was held on January 10, 2022. On August 25, 2022, the Ninth Circuit sided with the defendants by reversing the District Court’s public disclosure bar rulings and remanding the case back to the District Court to decide certain issues in the first instance. On October 11, 2022, the plaintiff filed a petition for rehearing with the Ninth Circuit which was denied on November 3, 2022. On December 23, 2022, the defendants filed renewed motions to dismiss directed to the remaining unresolved issue. On March 20, 2023, the District Court entered an order and final judgment dismissing with prejudice Silbersher’s Federal False Claims Act claim while declining to exercise supplemental jurisdiction over the state false claims act claims which were dismissed without prejudice. On April 19, 2023, the plaintiff appealed the District Court's dismissal of the Federal False Claims Act claim.</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APOKYN Litigation</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October 3, 2022, Sage Chemical, Inc. and TruPharma, LLC filed a lawsuit in the United States District Court for the District of Delaware (Case No.22-cv-1302) alleging that Supernus Pharmaceuticals, Inc., Britannia Pharmaceuticals Limited, and US WorldMeds Partners, LLC violated state and federal antitrust law in connection with APOKYN. On January 10, 2023, the Company filed motions to dismiss all claims. On January 25, 2023, Defendants filed a motion to stay discovery and stay the deadline to submit a proposed scheduling order pending resolutions of Defendants’ motions to dismiss. On March 7, 2023, the Court denied the Company's motion to stay and ordered that the parties commence discovery. On April 10, 2023, the Court issued a scheduling order that provides for a Pretrial Conference on March 7, 2025 and a jury trial beginning on March 24, 2025. Pretrial discovery is ongoing as the date of this letter. The Company intends to defend itself vigorously. However, the Company can offer no assurances that it will be successful in a litigation.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16.    Subsequent Events </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Repayment of 2023 Notes</w:t>
      </w:r>
    </w:p>
    <w:p>
      <w:pPr>
        <w:pStyle w:val="TextBody"/>
        <w:spacing w:lineRule="auto" w:line="288" w:before="200" w:after="200"/>
        <w:ind w:left="0" w:right="0" w:firstLine="720"/>
        <w:rPr/>
      </w:pPr>
      <w:r>
        <w:rPr>
          <w:rFonts w:ascii="Times New Roman;sans-serif" w:hAnsi="Times New Roman;sans-serif"/>
          <w:b w:val="false"/>
          <w:color w:val="000000"/>
          <w:sz w:val="20"/>
        </w:rPr>
        <w:t xml:space="preserve">The 2023 Notes matured on April 1, 2023. On March 30, 2023, the Company transferred funds to Wilmington Trust in connection with the repayment of the 2023 Notes which is presented as Restricted cash on the condensed consolidated balance sheet as of March 31, 2023. On April 1, 2023, the Company paid the total principal amount due of $402.5 million under the 2023 Notes, in addition to payment of the remaining outstanding interest due of $1.3 million. Refer to Note 8, </w:t>
      </w:r>
      <w:r>
        <w:rPr>
          <w:rFonts w:ascii="Times New Roman;sans-serif" w:hAnsi="Times New Roman;sans-serif"/>
          <w:b w:val="false"/>
          <w:i/>
          <w:color w:val="000000"/>
          <w:sz w:val="20"/>
        </w:rPr>
        <w:t>Debt</w:t>
      </w:r>
      <w:r>
        <w:rPr>
          <w:rFonts w:ascii="Times New Roman;sans-serif" w:hAnsi="Times New Roman;sans-serif"/>
          <w:b w:val="false"/>
          <w:color w:val="000000"/>
          <w:sz w:val="20"/>
        </w:rPr>
        <w:t>.</w:t>
      </w:r>
    </w:p>
    <w:p>
      <w:pPr>
        <w:pStyle w:val="TextBody"/>
        <w:spacing w:lineRule="auto" w:line="288" w:before="200" w:after="200"/>
        <w:rPr>
          <w:rFonts w:ascii="Times New Roman;sans-serif" w:hAnsi="Times New Roman;sans-serif"/>
          <w:b/>
          <w:color w:val="000000"/>
          <w:sz w:val="20"/>
        </w:rPr>
      </w:pPr>
      <w:r>
        <w:rPr>
          <w:rFonts w:ascii="Times New Roman;sans-serif" w:hAnsi="Times New Roman;sans-serif"/>
          <w:b/>
          <w:color w:val="000000"/>
          <w:sz w:val="20"/>
        </w:rPr>
        <w:t>SPN-830 Regulatory Update</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 April 2023, the Company had a constructive meeting with the U.S. Food and Drug Administration (FDA) to discuss the Complete Response Letter received in October 2022. Based on this meeting, the Company expects to resubmit the New Drug Application for SPN-830 in the fourth quarter of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200" w:after="283"/>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Management’s Discussion and Analysis of Financial Condition and Results of Operations is intended to help the reader understand the results of operations and the financial condition of Supernus Pharmaceuticals, Inc. The interim condensed consolidated financial statements included in this report and this Management’s Discussion and Analysis of Financial Condition and Results of Operations should be read in conjunction with our audited consolidated financial statements and notes thereto for the year ended December 31, 2022 and the related Management’s Discussion and Analysis of Financial Condition and Results of Operations, both of which are contained in our Annual Report on Form 10-K, filed with the Securities and Exchange Commission on March 9, 2023.</w:t>
      </w:r>
    </w:p>
    <w:p>
      <w:pPr>
        <w:pStyle w:val="TextBody"/>
        <w:spacing w:lineRule="auto" w:line="288" w:before="200" w:after="283"/>
        <w:ind w:left="0" w:right="0" w:firstLine="720"/>
        <w:rPr/>
      </w:pPr>
      <w:r>
        <w:rPr>
          <w:rFonts w:ascii="Times New Roman;sans-serif" w:hAnsi="Times New Roman;sans-serif"/>
          <w:b w:val="false"/>
          <w:i/>
          <w:color w:val="000000"/>
          <w:sz w:val="20"/>
        </w:rPr>
        <w:t>In addition to historical information, this Quarterly Report on Form 10-Q contains forward-looking statements within the meaning of</w:t>
      </w:r>
      <w:r>
        <w:rPr>
          <w:color w:val="000000"/>
        </w:rPr>
        <w:t xml:space="preserve"> </w:t>
      </w:r>
      <w:r>
        <w:rPr>
          <w:rFonts w:ascii="Times New Roman;sans-serif" w:hAnsi="Times New Roman;sans-serif"/>
          <w:b w:val="false"/>
          <w:i/>
          <w:color w:val="000000"/>
          <w:sz w:val="20"/>
        </w:rPr>
        <w:t>Section 27A of the Securities Act of 1933, as amended, and Section 21E of the Securities Exchange Act of 1934, as amended, which are intended to be covered by the safe harbors created thereby. These forward-looking statements may include declarations regarding the Company’s belief or current expectations of management, such as statements including the words “budgeted,” “anticipate,” “project,” “forecast,” “estimate,” “expect,” “may,” “believe,” “potential,” and similar statements or expressions, which are intended to be among the statements that are forward-looking statements, as such statements reflect the reality of risk and uncertainty that is inherent in our business. Actual results may differ materially from those expressed or implied by such forward-looking statements. Readers are cautioned not to place undue reliance on these forward-looking statements, which are made as of the date this report was filed with the Securities and Exchange Commission. Our actual results and the timing of events could differ materially from those discussed in our forward-looking statements because of many factors, including those set forth under the “Risk Factors” section of our Annual Report on Form 10-K and elsewhere in this report as well as in other reports and documents we file with the Securities and Exchange Commission from time to time. Except as required by law, we undertake no obligation to update any forward-looking statements to reflect events or circumstances occurring after the date of this Quarterly Report on Form 10-Q.</w:t>
      </w:r>
    </w:p>
    <w:p>
      <w:pPr>
        <w:pStyle w:val="TextBody"/>
        <w:spacing w:lineRule="auto" w:line="288" w:before="200" w:after="283"/>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Unless the content requires otherwise, the words "Supernus," "we," "our" and "the Company" refer to Supernus Pharmaceuticals, Inc. and/or one or more of its subsidiaries, as the case may be. These terms are used solely for the convenience of the reader. Supernus Pharmaceuticals, Inc. and each of its subsidiaries are distinct legal entities. For example, MDD US Operations, LLC, a wholly-owned indirect subsidiary of Supernus Pharmaceuticals, Inc., is the exclusive licensee and distributor of APOKYN in the United States and its territories. Adamas Operations, LLC, a wholly-owned indirect subsidiary of Supernus Pharmaceuticals, Inc., wholly owns the patents and patent applications related to GOCOVRI and Osmolex ER and has a license agreement with Supernus Pharmaceuticals, Inc., granting Supernus Pharmaceuticals, Inc. rights to market and sell GOCOVRI and Osmolex ER.</w:t>
      </w:r>
    </w:p>
    <w:p>
      <w:pPr>
        <w:pStyle w:val="TextBody"/>
        <w:spacing w:lineRule="auto" w:line="288" w:before="200" w:after="283"/>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Solely for convenience, in this Quarterly Report on Form 10-Q, the trade names are referred to without the TM symbols and the trademark registrations are referred to without the circled R, but such references should not be construed as any indicator that the Company will not assert, to the fullest extent under applicable law, our rights thereto.</w:t>
      </w:r>
    </w:p>
    <w:p>
      <w:pPr>
        <w:pStyle w:val="TextBody"/>
        <w:spacing w:before="200" w:after="283"/>
        <w:ind w:left="0" w:right="0" w:firstLine="72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a biopharmaceutical company focused on developing and commercializing products for the treatment of central nervous system (CNS) diseases. Our diverse neuroscience portfolio includes approved treatments for epilepsy, migraine, attention-deficit hyperactivity disorder (ADHD), hypomobility in Parkinson’s Disease (PD), cervical dystonia, chronic sialorrhea, dyskinesia in PD patients receiving levodopa-based therapy, and drug-induced extrapyramidal reactions in adult patients. We are developing a broad range of novel CNS product candidates including new potential treatments for hypomobility in PD, epilepsy, depression, and other CNS disorders.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a portfolio of commercial products and product candidates.</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Commercial Products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Qelbree</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(viloxazine extended-release capsules) is a novel non-stimulant product indicated for the treatment of ADHD in adults and pediatric patients 6 years and older. The United States Food and Drug Administration (FDA) approved Qelbree for the treatment of ADHD in pediatric patients 6 to 17 years of age in April 2021, and in adult patients in April 2022. The Company launched Qelbree for pediatric patients in May 2021 and for adult patients in May 2022 in the United States (U.S.).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Trokendi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(topiramate) is the first once-daily extended-release topiramate product indicated for the treatment of epilepsy in patients 6 years of age and older in the U.S. market. It is also indicated for the prophylaxis of migraine headache in adults and adolescents 12 years and older. </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Oxtellar XR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(oxcarbazepine) is indicated as therapy for the treatment of partial onset seizures in patients 6 years of age and older. It is also the first once-daily extended-release oxcarbazepine product indicated for the treatment of epilepsy in the U.S. market.</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GOCOVRI</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 xml:space="preserve">(amantadine) extended-release capsules is the first and only FDA approved medicine indicated for the treatment of dyskinesia in patients with PD receiving levodopa-based therapy, with or without concomitant dopaminergic medications, and as an adjunctive treatment to levodopa/carbidopa with PD experiencing "off" episodes. </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APOKYN</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(apomorphine hydrochloride injection) is a product indicated for the acute, intermittent treatment of hypomobility, "off" episodes ("end-of-dose wearing off" and unpredictable "on/off" episodes) in patients with advanced PD. </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XADAGO</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(safinamide) is a once-daily product indicated as adjunctive treatment to levodopa/carbidopa in patients with PD experiencing "off" episodes.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Osmolex ER</w:t>
      </w:r>
      <w:r>
        <w:rPr>
          <w:rFonts w:ascii="Times New Roman;sans-serif" w:hAnsi="Times New Roman;sans-serif"/>
          <w:b w:val="false"/>
          <w:color w:val="000000"/>
          <w:sz w:val="13"/>
        </w:rPr>
        <w:t xml:space="preserve">® </w:t>
      </w:r>
      <w:r>
        <w:rPr>
          <w:rFonts w:ascii="Times New Roman;sans-serif" w:hAnsi="Times New Roman;sans-serif"/>
          <w:b w:val="false"/>
          <w:color w:val="000000"/>
          <w:sz w:val="20"/>
        </w:rPr>
        <w:t>(amantadine) extended-release tablets is for the treatment of PD and drug-induced extrapyramidal reactions in adult patients.</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MYOBLOC</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(rimabotulinumtoxinB injection) is a product indicated for the treatment of cervical dystonia and chronic sialorrhea in adults. It is the only botulinum toxin type B available on the market.</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are committed to the development of innovative product candidates in neurology and psychiatry, including the following:</w:t>
      </w:r>
    </w:p>
    <w:tbl>
      <w:tblPr>
        <w:tblW w:w="10205" w:type="dxa"/>
        <w:jc w:val="left"/>
        <w:tblInd w:w="0" w:type="dxa"/>
        <w:tblCellMar>
          <w:top w:w="28" w:type="dxa"/>
          <w:left w:w="28" w:type="dxa"/>
          <w:bottom w:w="28" w:type="dxa"/>
          <w:right w:w="28" w:type="dxa"/>
        </w:tblCellMar>
      </w:tblPr>
      <w:tblGrid>
        <w:gridCol w:w="464"/>
        <w:gridCol w:w="407"/>
        <w:gridCol w:w="410"/>
        <w:gridCol w:w="1382"/>
        <w:gridCol w:w="1034"/>
        <w:gridCol w:w="1046"/>
        <w:gridCol w:w="850"/>
        <w:gridCol w:w="850"/>
        <w:gridCol w:w="851"/>
        <w:gridCol w:w="845"/>
        <w:gridCol w:w="845"/>
        <w:gridCol w:w="1221"/>
      </w:tblGrid>
      <w:tr>
        <w:trPr/>
        <w:tc>
          <w:tcPr>
            <w:tcW w:w="464"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1382"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r>
      <w:tr>
        <w:trPr/>
        <w:tc>
          <w:tcPr>
            <w:tcW w:w="1281" w:type="dxa"/>
            <w:gridSpan w:val="3"/>
            <w:tcBorders>
              <w:top w:val="single" w:sz="8" w:space="0" w:color="6D6D6D"/>
              <w:left w:val="single" w:sz="8" w:space="0" w:color="6D6D6D"/>
            </w:tcBorders>
            <w:shd w:fill="242424"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20"/>
              </w:rPr>
            </w:pPr>
            <w:r>
              <w:rPr>
                <w:rFonts w:ascii="Times New Roman;sans-serif" w:hAnsi="Times New Roman;sans-serif"/>
                <w:b/>
                <w:color w:val="FFFFFF"/>
                <w:sz w:val="20"/>
              </w:rPr>
              <w:t>Product Candidate</w:t>
            </w:r>
          </w:p>
        </w:tc>
        <w:tc>
          <w:tcPr>
            <w:tcW w:w="3462" w:type="dxa"/>
            <w:gridSpan w:val="3"/>
            <w:tcBorders>
              <w:top w:val="single" w:sz="8" w:space="0" w:color="6D6D6D"/>
              <w:left w:val="single" w:sz="8" w:space="0" w:color="6D6D6D"/>
            </w:tcBorders>
            <w:shd w:fill="242424"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20"/>
              </w:rPr>
            </w:pPr>
            <w:r>
              <w:rPr>
                <w:rFonts w:ascii="Times New Roman;sans-serif" w:hAnsi="Times New Roman;sans-serif"/>
                <w:b/>
                <w:color w:val="FFFFFF"/>
                <w:sz w:val="20"/>
              </w:rPr>
              <w:t>Indication</w:t>
            </w:r>
          </w:p>
        </w:tc>
        <w:tc>
          <w:tcPr>
            <w:tcW w:w="2551" w:type="dxa"/>
            <w:gridSpan w:val="3"/>
            <w:tcBorders>
              <w:top w:val="single" w:sz="8" w:space="0" w:color="6D6D6D"/>
              <w:left w:val="single" w:sz="8" w:space="0" w:color="6D6D6D"/>
            </w:tcBorders>
            <w:shd w:fill="242424"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FFFFFF"/>
                <w:sz w:val="20"/>
              </w:rPr>
            </w:pPr>
            <w:r>
              <w:rPr>
                <w:rFonts w:ascii="Times New Roman;sans-serif" w:hAnsi="Times New Roman;sans-serif"/>
                <w:b/>
                <w:color w:val="FFFFFF"/>
                <w:sz w:val="20"/>
              </w:rPr>
              <w:t>Development</w:t>
            </w:r>
          </w:p>
        </w:tc>
        <w:tc>
          <w:tcPr>
            <w:tcW w:w="2911" w:type="dxa"/>
            <w:gridSpan w:val="3"/>
            <w:tcBorders>
              <w:top w:val="single" w:sz="8" w:space="0" w:color="6D6D6D"/>
              <w:left w:val="single" w:sz="8" w:space="0" w:color="6D6D6D"/>
              <w:right w:val="single" w:sz="8" w:space="0" w:color="6D6D6D"/>
            </w:tcBorders>
            <w:shd w:fill="242424" w:val="clear"/>
            <w:tcMar>
              <w:top w:w="30" w:type="dxa"/>
              <w:bottom w:w="0" w:type="dxa"/>
            </w:tcMar>
            <w:vAlign w:val="center"/>
          </w:tcPr>
          <w:p>
            <w:pPr>
              <w:pStyle w:val="TableContents"/>
              <w:spacing w:lineRule="auto" w:line="240" w:before="0" w:after="283"/>
              <w:jc w:val="center"/>
              <w:rPr>
                <w:rFonts w:ascii="Times New Roman;sans-serif" w:hAnsi="Times New Roman;sans-serif"/>
                <w:b/>
                <w:color w:val="FFFFFF"/>
                <w:sz w:val="20"/>
              </w:rPr>
            </w:pPr>
            <w:r>
              <w:rPr>
                <w:rFonts w:ascii="Times New Roman;sans-serif" w:hAnsi="Times New Roman;sans-serif"/>
                <w:b/>
                <w:color w:val="FFFFFF"/>
                <w:sz w:val="20"/>
              </w:rPr>
              <w:t>NDA</w:t>
            </w:r>
          </w:p>
        </w:tc>
      </w:tr>
      <w:tr>
        <w:trPr/>
        <w:tc>
          <w:tcPr>
            <w:tcW w:w="1281" w:type="dxa"/>
            <w:gridSpan w:val="3"/>
            <w:tcBorders>
              <w:top w:val="single" w:sz="8" w:space="0" w:color="6D6D6D"/>
              <w:left w:val="single" w:sz="8" w:space="0" w:color="6D6D6D"/>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SPN-830</w:t>
            </w:r>
          </w:p>
        </w:tc>
        <w:tc>
          <w:tcPr>
            <w:tcW w:w="3462" w:type="dxa"/>
            <w:gridSpan w:val="3"/>
            <w:tcBorders>
              <w:top w:val="single" w:sz="8" w:space="0" w:color="6D6D6D"/>
              <w:left w:val="single" w:sz="8" w:space="0" w:color="6D6D6D"/>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Continuous treatment of motor fluctuations ("off" episodes) in PD patients</w:t>
            </w:r>
          </w:p>
        </w:tc>
        <w:tc>
          <w:tcPr>
            <w:tcW w:w="2551" w:type="dxa"/>
            <w:gridSpan w:val="3"/>
            <w:tcBorders>
              <w:top w:val="single" w:sz="8" w:space="0" w:color="6D6D6D"/>
              <w:left w:val="single" w:sz="8" w:space="0" w:color="6D6D6D"/>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Plan to resubmit the NDA in the fourth quarter of 2023</w:t>
            </w:r>
          </w:p>
        </w:tc>
        <w:tc>
          <w:tcPr>
            <w:tcW w:w="2911" w:type="dxa"/>
            <w:gridSpan w:val="3"/>
            <w:tcBorders>
              <w:top w:val="single" w:sz="8" w:space="0" w:color="6D6D6D"/>
              <w:left w:val="single" w:sz="8" w:space="0" w:color="6D6D6D"/>
              <w:right w:val="single" w:sz="8" w:space="0" w:color="6D6D6D"/>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Complete Response Letter (CRL) received from FDA in October 2022</w:t>
            </w:r>
          </w:p>
        </w:tc>
      </w:tr>
      <w:tr>
        <w:trPr/>
        <w:tc>
          <w:tcPr>
            <w:tcW w:w="1281" w:type="dxa"/>
            <w:gridSpan w:val="3"/>
            <w:tcBorders>
              <w:top w:val="single" w:sz="8" w:space="0" w:color="6D6D6D"/>
              <w:left w:val="single" w:sz="8" w:space="0" w:color="6D6D6D"/>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SPN-820</w:t>
            </w:r>
          </w:p>
        </w:tc>
        <w:tc>
          <w:tcPr>
            <w:tcW w:w="3462" w:type="dxa"/>
            <w:gridSpan w:val="3"/>
            <w:tcBorders>
              <w:top w:val="single" w:sz="8" w:space="0" w:color="6D6D6D"/>
              <w:left w:val="single" w:sz="8" w:space="0" w:color="6D6D6D"/>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Treatment-resistant depression</w:t>
            </w:r>
          </w:p>
        </w:tc>
        <w:tc>
          <w:tcPr>
            <w:tcW w:w="2551" w:type="dxa"/>
            <w:gridSpan w:val="3"/>
            <w:tcBorders>
              <w:top w:val="single" w:sz="8" w:space="0" w:color="6D6D6D"/>
              <w:left w:val="single" w:sz="8" w:space="0" w:color="6D6D6D"/>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Phase II</w:t>
            </w:r>
          </w:p>
        </w:tc>
        <w:tc>
          <w:tcPr>
            <w:tcW w:w="2911" w:type="dxa"/>
            <w:gridSpan w:val="3"/>
            <w:tcBorders>
              <w:top w:val="single" w:sz="8" w:space="0" w:color="6D6D6D"/>
              <w:left w:val="single" w:sz="8" w:space="0" w:color="6D6D6D"/>
              <w:right w:val="single" w:sz="8" w:space="0" w:color="6D6D6D"/>
            </w:tcBorders>
            <w:shd w:fill="auto" w:val="clear"/>
            <w:tcMar>
              <w:bottom w:w="0" w:type="dxa"/>
            </w:tcMar>
            <w:vAlign w:val="center"/>
          </w:tcPr>
          <w:p>
            <w:pPr>
              <w:pStyle w:val="TableContents"/>
              <w:spacing w:before="0" w:after="283"/>
              <w:rPr>
                <w:sz w:val="4"/>
                <w:szCs w:val="4"/>
              </w:rPr>
            </w:pPr>
            <w:r>
              <w:rPr>
                <w:sz w:val="4"/>
                <w:szCs w:val="4"/>
              </w:rPr>
            </w:r>
          </w:p>
        </w:tc>
      </w:tr>
      <w:tr>
        <w:trPr/>
        <w:tc>
          <w:tcPr>
            <w:tcW w:w="1281" w:type="dxa"/>
            <w:gridSpan w:val="3"/>
            <w:tcBorders>
              <w:top w:val="single" w:sz="8" w:space="0" w:color="6D6D6D"/>
              <w:left w:val="single" w:sz="8" w:space="0" w:color="6D6D6D"/>
              <w:bottom w:val="single" w:sz="8" w:space="0" w:color="6D6D6D"/>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i/>
                <w:color w:val="000000"/>
                <w:sz w:val="20"/>
              </w:rPr>
            </w:pPr>
            <w:r>
              <w:rPr>
                <w:rFonts w:ascii="Times New Roman;sans-serif" w:hAnsi="Times New Roman;sans-serif"/>
                <w:b/>
                <w:i/>
                <w:color w:val="000000"/>
                <w:sz w:val="20"/>
              </w:rPr>
              <w:t>SPN-817</w:t>
            </w:r>
          </w:p>
        </w:tc>
        <w:tc>
          <w:tcPr>
            <w:tcW w:w="3462" w:type="dxa"/>
            <w:gridSpan w:val="3"/>
            <w:tcBorders>
              <w:top w:val="single" w:sz="8" w:space="0" w:color="6D6D6D"/>
              <w:left w:val="single" w:sz="8" w:space="0" w:color="6D6D6D"/>
              <w:bottom w:val="single" w:sz="8" w:space="0" w:color="6D6D6D"/>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Treatment-resistant seizures</w:t>
            </w:r>
          </w:p>
        </w:tc>
        <w:tc>
          <w:tcPr>
            <w:tcW w:w="2551" w:type="dxa"/>
            <w:gridSpan w:val="3"/>
            <w:tcBorders>
              <w:top w:val="single" w:sz="8" w:space="0" w:color="6D6D6D"/>
              <w:left w:val="single" w:sz="8" w:space="0" w:color="6D6D6D"/>
              <w:bottom w:val="single" w:sz="8" w:space="0" w:color="6D6D6D"/>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Phase II</w:t>
            </w:r>
          </w:p>
        </w:tc>
        <w:tc>
          <w:tcPr>
            <w:tcW w:w="2911" w:type="dxa"/>
            <w:gridSpan w:val="3"/>
            <w:tcBorders>
              <w:top w:val="single" w:sz="8" w:space="0" w:color="6D6D6D"/>
              <w:left w:val="single" w:sz="8" w:space="0" w:color="6D6D6D"/>
              <w:bottom w:val="single" w:sz="8" w:space="0" w:color="6D6D6D"/>
              <w:right w:val="single" w:sz="8" w:space="0" w:color="6D6D6D"/>
            </w:tcBorders>
            <w:shd w:fill="auto" w:val="cle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76" w:before="200" w:after="283"/>
        <w:ind w:left="0" w:right="0" w:hanging="288"/>
        <w:rPr>
          <w:rFonts w:ascii="Times New Roman;sans-serif" w:hAnsi="Times New Roman;sans-serif"/>
          <w:b w:val="false"/>
          <w:i/>
          <w:color w:val="000000"/>
          <w:sz w:val="20"/>
        </w:rPr>
      </w:pPr>
      <w:r>
        <w:rPr>
          <w:rFonts w:ascii="Times New Roman;sans-serif" w:hAnsi="Times New Roman;sans-serif"/>
          <w:b w:val="false"/>
          <w:i/>
          <w:color w:val="000000"/>
          <w:sz w:val="20"/>
        </w:rPr>
        <w:t>SPN-830 (apomorphine infusion device)</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SPN-830 is a late-stage drug/device combination product candidate for the continuous treatment of motor fluctuations ("off" episodes) in PD patients that are not adequately controlled with oral levodopa and one or more adjunct PD medications. If approved, it would be the only continuous infusion of apomorphine available in the U.S. and an important step for PD patients that would have otherwise been candidates for potentially invasive surgical procedures, such as deep brain stimulation. Continuous slow infusion may also limit some of the side effects of a bolus injection of apomorphine. </w:t>
      </w:r>
    </w:p>
    <w:p>
      <w:pPr>
        <w:pStyle w:val="TextBody"/>
        <w:spacing w:lineRule="auto" w:line="288" w:before="200" w:after="283"/>
        <w:ind w:left="0" w:right="0" w:firstLine="720"/>
        <w:rPr/>
      </w:pPr>
      <w:r>
        <w:rPr>
          <w:rFonts w:ascii="Times New Roman;sans-serif" w:hAnsi="Times New Roman;sans-serif"/>
          <w:b w:val="false"/>
          <w:color w:val="000000"/>
          <w:sz w:val="20"/>
        </w:rPr>
        <w:t xml:space="preserve">In December 2021, we resubmitted the NDA to the FDA. In February 2022, we received a notice from the FDA that the resubmission of the NDA for SPN-830 was considered as a Standard Review and was assigned a PDUFA target action date in early October 2022. In October 2022, the FDA issued a Complete Response Letter (CRL) regarding the NDA for SPN-830. The CRL requires additional information and analysis related to the infusion device and drug product across several areas of the NDA including, but not limited to, labeling, product quality and manufacturing, device performance and risk analysis. In addition, the FDA mentions that approval of the NDA requires inspections that could not be completed in a timely manner due to COVID-19 travel restrictions. The CRL does not request additional efficacy and safety clinical studies. The FDA has made an initial determination that the amendment to the Company’s application in response to the CRL will be subject to a Class 2, or six-month, review timeline. In April 2023, the Company met with FDA to discuss the CRL. Refer to discussion under the </w:t>
      </w:r>
      <w:r>
        <w:rPr>
          <w:rFonts w:ascii="Times New Roman;sans-serif" w:hAnsi="Times New Roman;sans-serif"/>
          <w:b w:val="false"/>
          <w:i/>
          <w:color w:val="000000"/>
          <w:sz w:val="20"/>
        </w:rPr>
        <w:t xml:space="preserve">Operational Highlights </w:t>
      </w:r>
      <w:r>
        <w:rPr>
          <w:rFonts w:ascii="Times New Roman;sans-serif" w:hAnsi="Times New Roman;sans-serif"/>
          <w:b w:val="false"/>
          <w:color w:val="000000"/>
          <w:sz w:val="20"/>
        </w:rPr>
        <w:t>section below for further regulatory update.</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SPN-820 (NV-5138)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SPN-820 is a first-in-class, orally active small molecule that activates brain mechanistic target of rapamycin complex 1 (mTORC1), a gatekeeper of cellular metabolism and renewal. SPN-820 binds to and modulates sestrin, which senses amino acid availability in the brain, a potent natural activator of mTORC1.</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SPN-817 (huperzine A)</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SPN-817 represents a novel mechanism of action (MOA) for an anticonvulsant. SPN-817 is a novel synthetic form of </w:t>
        <w:br/>
        <w:t>huperzine A, whose MOA includes potent acetylcholinesterase inhibition, with pharmacological activities in CNS conditions such as epilepsy. The development will initially focus on the drug's anticonvulsant activity, which has been shown in preclinical models to be effective for the treatment of partial seizures and Dravet Syndrome. SPN-817 is in clinical development and has received Orphan Drug designation for several epilepsy indications from the FDA.</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Adamas Reorganization</w:t>
      </w:r>
    </w:p>
    <w:p>
      <w:pPr>
        <w:pStyle w:val="TextBody"/>
        <w:spacing w:lineRule="auto" w:line="268" w:before="200" w:after="283"/>
        <w:ind w:left="0" w:right="0" w:firstLine="720"/>
        <w:rPr/>
      </w:pPr>
      <w:r>
        <w:rPr>
          <w:rFonts w:ascii="Times New Roman;sans-serif" w:hAnsi="Times New Roman;sans-serif"/>
          <w:b w:val="false"/>
          <w:color w:val="000000"/>
          <w:sz w:val="20"/>
        </w:rPr>
        <w:t xml:space="preserve">In the first quarter of 2022 and subsequent to the Adamas Acquisition, the Company completed a reorganization of the Adamas legal entities in an effort to obtain operational, legal and other benefits that also resulted in certain state tax efficiencies. The reorganization had no effect on the condensed consolidated financial statements other than certain state tax efficiencies. (See Note 11, </w:t>
      </w:r>
      <w:r>
        <w:rPr>
          <w:rFonts w:ascii="Times New Roman;sans-serif" w:hAnsi="Times New Roman;sans-serif"/>
          <w:b w:val="false"/>
          <w:i/>
          <w:color w:val="000000"/>
          <w:sz w:val="20"/>
        </w:rPr>
        <w:t>Income Tax Benefit).</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COVID-19 Impact</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While the impact of the COVID-19 pandemic did not have a material adverse effect on our financial position or results of operations for the three months ended March 31, 2022, we continue to closely monitor the events and circumstances surrounding the COVID-19 pandemic and its impact on all aspects of our business operations. See “Risk Factors” in Part I, Item 1A of our Annual Report on Form 10-K for additional information on risk factors that could impact our business and our results.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 xml:space="preserve">Operational Highlights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Qelbree Update</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Total IQVIA prescriptions were 134,530 in the first quarter of 2023, an increase of 14% compared to total prescriptions of 117,635 in the fourth quarter of 2022. In March 2023, the most recent month available, total prescriptions reached 49,789.</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Qelbree continues to expand its base of prescribers, with approximately 19,197 prescribers in the first quarter of 2023, up from 16,822 prescribers in the fourth quarter of 2022.</w:t>
      </w:r>
    </w:p>
    <w:p>
      <w:pPr>
        <w:pStyle w:val="TextBody"/>
        <w:spacing w:lineRule="auto" w:line="288" w:before="200" w:after="283"/>
        <w:ind w:left="0" w:right="0" w:hanging="360"/>
        <w:rPr/>
      </w:pPr>
      <w:r>
        <w:rPr>
          <w:color w:val="000000"/>
          <w:highlight w:val="white"/>
        </w:rPr>
        <w:t>•</w:t>
      </w:r>
      <w:r>
        <w:rPr>
          <w:rFonts w:ascii="Times New Roman;sans-serif" w:hAnsi="Times New Roman;sans-serif"/>
          <w:b w:val="false"/>
          <w:color w:val="000000"/>
          <w:sz w:val="20"/>
          <w:highlight w:val="white"/>
        </w:rPr>
        <w:t>As previously disclosed, a second significant pharmacy benefit manager contract was executed effective January 2023. We continue making progress in securing and improving managed care coverage.</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Product Pipeline Update</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SPN-830 (apomorphine infusion device) - Continuous treatment of motor fluctuations (“off” episodes) in Parkinson's Disease (PD)</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In April 2023, the Company had a constructive meeting with the U.S. Food and Drug Administration (FDA) to discuss the Complete Response Letter received in October 2022. Based on this meeting, the Company expects to resubmit the New Drug Application for SPN-830 in the fourth quarter of 2023.</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SPN-820 - Novel first-in-class activator of mTORC1</w:t>
      </w:r>
    </w:p>
    <w:p>
      <w:pPr>
        <w:pStyle w:val="TextBody"/>
        <w:spacing w:lineRule="auto" w:line="288" w:before="200" w:after="283"/>
        <w:ind w:left="0" w:right="0" w:hanging="360"/>
        <w:rPr/>
      </w:pPr>
      <w:r>
        <w:rPr>
          <w:color w:val="000000"/>
        </w:rPr>
        <w:t>•</w:t>
      </w:r>
      <w:r>
        <w:rPr>
          <w:rFonts w:ascii="Times New Roman;sans-serif" w:hAnsi="Times New Roman;sans-serif"/>
          <w:b w:val="false"/>
          <w:color w:val="000000"/>
          <w:sz w:val="20"/>
        </w:rPr>
        <w:t>The Phase II multi-center randomized double-blind placebo-controlled parallel design study of SPN-820 in adults with treatment-resistant depression is ongoing. The study will examine the efficacy and safety of SPN-820 over a course of five weeks of treatment in approximately 270 patients. The primary outcome measure is the change from baseline to end of treatment period on the Montgomery-Asberg Depression Rating Scale (MADRS) Total Score, a standard depression rating scale.</w:t>
      </w:r>
    </w:p>
    <w:p>
      <w:pPr>
        <w:pStyle w:val="TextBody"/>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SPN-817 – A novel product candidate for the treatment of epilepsy</w:t>
      </w:r>
    </w:p>
    <w:p>
      <w:pPr>
        <w:pStyle w:val="TextBody"/>
        <w:spacing w:lineRule="auto" w:line="288" w:before="200" w:after="283"/>
        <w:ind w:left="0" w:right="0" w:hanging="360"/>
        <w:rPr/>
      </w:pPr>
      <w:r>
        <w:rPr>
          <w:color w:val="000000"/>
          <w:highlight w:val="white"/>
        </w:rPr>
        <w:t>•</w:t>
      </w:r>
      <w:r>
        <w:rPr>
          <w:rFonts w:ascii="Times New Roman;sans-serif" w:hAnsi="Times New Roman;sans-serif"/>
          <w:b w:val="false"/>
          <w:color w:val="000000"/>
          <w:sz w:val="20"/>
          <w:highlight w:val="white"/>
        </w:rPr>
        <w:t>The open-label Phase II clinical study of SPN-817 in patients with treatment-resistant seizures is ongoing. Depending on the rate of enrollment, the Company expects to have data in the first half of 2024.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Critical Accounting Policies and the Use of Estimates</w:t>
      </w:r>
    </w:p>
    <w:p>
      <w:pPr>
        <w:pStyle w:val="TextBody"/>
        <w:spacing w:lineRule="auto" w:line="288" w:before="200" w:after="283"/>
        <w:ind w:left="0" w:right="0" w:firstLine="720"/>
        <w:rPr/>
      </w:pPr>
      <w:r>
        <w:rPr>
          <w:rFonts w:ascii="Times New Roman;sans-serif" w:hAnsi="Times New Roman;sans-serif"/>
          <w:b w:val="false"/>
          <w:color w:val="000000"/>
          <w:sz w:val="20"/>
        </w:rPr>
        <w:t xml:space="preserve">A summary of our significant accounting policies is included in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of our audited consolidated financial statements included in the Annual Report on Form 10-K for the year ended December 31, 2022. There were no significant changes to the disclosures with respect to our critical accounting policies in our Annual Report on Form 10-K for the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 xml:space="preserve">Comparison of the Three Months Ended March 31, 2023 and 2022 </w:t>
      </w:r>
    </w:p>
    <w:p>
      <w:pPr>
        <w:pStyle w:val="TextBody"/>
        <w:spacing w:lineRule="auto" w:line="288" w:before="20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Revenues consist primarily of net product sales of our commercial products in the U.S., supplemented by royalty revenues from our collaborative licensing arrangements. The following table provides information regarding our revenues during the three months ended March 31, 2023 (dollars in thousands):</w:t>
      </w:r>
    </w:p>
    <w:tbl>
      <w:tblPr>
        <w:tblW w:w="7208" w:type="dxa"/>
        <w:jc w:val="left"/>
        <w:tblInd w:w="0" w:type="dxa"/>
        <w:tblCellMar>
          <w:top w:w="28" w:type="dxa"/>
          <w:left w:w="28" w:type="dxa"/>
          <w:bottom w:w="28" w:type="dxa"/>
          <w:right w:w="28" w:type="dxa"/>
        </w:tblCellMar>
      </w:tblPr>
      <w:tblGrid>
        <w:gridCol w:w="712"/>
        <w:gridCol w:w="625"/>
        <w:gridCol w:w="628"/>
        <w:gridCol w:w="211"/>
        <w:gridCol w:w="826"/>
        <w:gridCol w:w="109"/>
        <w:gridCol w:w="109"/>
        <w:gridCol w:w="109"/>
        <w:gridCol w:w="109"/>
        <w:gridCol w:w="211"/>
        <w:gridCol w:w="826"/>
        <w:gridCol w:w="109"/>
        <w:gridCol w:w="109"/>
        <w:gridCol w:w="109"/>
        <w:gridCol w:w="109"/>
        <w:gridCol w:w="211"/>
        <w:gridCol w:w="796"/>
        <w:gridCol w:w="109"/>
        <w:gridCol w:w="109"/>
        <w:gridCol w:w="109"/>
        <w:gridCol w:w="109"/>
        <w:gridCol w:w="218"/>
        <w:gridCol w:w="218"/>
        <w:gridCol w:w="418"/>
      </w:tblGrid>
      <w:tr>
        <w:trPr/>
        <w:tc>
          <w:tcPr>
            <w:tcW w:w="712"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r>
      <w:tr>
        <w:trPr/>
        <w:tc>
          <w:tcPr>
            <w:tcW w:w="1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1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product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Trokendi XR</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(28,042)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4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Oxtellar XR</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GOCOVRI</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Qelbree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25,782 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APOKYN</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(1)</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1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product sales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revenues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200" w:after="283"/>
        <w:ind w:left="0" w:right="0" w:firstLine="720"/>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___________________________________________</w:t>
      </w:r>
    </w:p>
    <w:p>
      <w:pPr>
        <w:pStyle w:val="TextBody"/>
        <w:spacing w:lineRule="auto" w:line="268" w:before="0" w:after="0"/>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Includes net product sales of MYOBLOC, XADAGO and Osmolex ER.</w:t>
      </w:r>
    </w:p>
    <w:p>
      <w:pPr>
        <w:pStyle w:val="TextBody"/>
        <w:spacing w:lineRule="auto" w:line="268" w:before="0" w:after="0"/>
        <w:ind w:left="0" w:right="0" w:hanging="270"/>
        <w:rPr>
          <w:rFonts w:ascii="Times New Roman;sans-serif" w:hAnsi="Times New Roman;sans-serif"/>
          <w:b w:val="false"/>
          <w:color w:val="000000"/>
          <w:sz w:val="18"/>
        </w:rPr>
      </w:pPr>
      <w:r>
        <w:rPr>
          <w:rFonts w:ascii="Times New Roman;sans-serif" w:hAnsi="Times New Roman;sans-serif"/>
          <w:b w:val="false"/>
          <w:color w:val="000000"/>
          <w:sz w:val="18"/>
        </w:rPr>
        <w:t>** Indicates calculation result is equal to or greater than 100%.</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$6.9 million and 5% decrease in net product sales for the three months ended March 31, 2023, as compared to the same period in 2022, was primarily due to the decline in net product sales of Trokendi XR which was partially offset by the $17.5 million increase in net product sales from Qelbree and the $3.4 million increase in net product sales from GOCOVRI.</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Trokendi XR net product sales decreased by 45% to $34.8 million for the three months ended March 31, 2023 as compared to the same period in 2022. This decrease was attributable primarily to the loss of exclusivity with generic entrants in January 2023.</w:t>
      </w:r>
    </w:p>
    <w:p>
      <w:pPr>
        <w:pStyle w:val="TextBody"/>
        <w:spacing w:lineRule="auto" w:line="288" w:before="20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Sales Deductions and Related Accruals</w:t>
      </w:r>
    </w:p>
    <w:p>
      <w:pPr>
        <w:pStyle w:val="TextBody"/>
        <w:spacing w:lineRule="auto" w:line="288" w:before="200" w:after="283"/>
        <w:ind w:left="0" w:right="0" w:firstLine="720"/>
        <w:rPr/>
      </w:pPr>
      <w:r>
        <w:rPr>
          <w:rFonts w:ascii="Times New Roman;sans-serif" w:hAnsi="Times New Roman;sans-serif"/>
          <w:b w:val="false"/>
          <w:color w:val="000000"/>
          <w:sz w:val="20"/>
        </w:rPr>
        <w:t>We record accrued product returns and accrued product rebates as current liabilities in</w:t>
      </w:r>
      <w:r>
        <w:rPr>
          <w:color w:val="000000"/>
        </w:rPr>
        <w:t xml:space="preserve"> </w:t>
      </w:r>
      <w:r>
        <w:rPr>
          <w:rFonts w:ascii="Times New Roman;sans-serif" w:hAnsi="Times New Roman;sans-serif"/>
          <w:b w:val="false"/>
          <w:i/>
          <w:color w:val="000000"/>
          <w:sz w:val="20"/>
        </w:rPr>
        <w:t xml:space="preserve">Accrued product returns and rebates, </w:t>
      </w:r>
      <w:r>
        <w:rPr>
          <w:rFonts w:ascii="Times New Roman;sans-serif" w:hAnsi="Times New Roman;sans-serif"/>
          <w:b w:val="false"/>
          <w:color w:val="000000"/>
          <w:sz w:val="20"/>
        </w:rPr>
        <w:t xml:space="preserve">on our condensed consolidated balance sheets. We record sales discounts as a reduction against </w:t>
      </w:r>
      <w:r>
        <w:rPr>
          <w:rFonts w:ascii="Times New Roman;sans-serif" w:hAnsi="Times New Roman;sans-serif"/>
          <w:b w:val="false"/>
          <w:i/>
          <w:color w:val="000000"/>
          <w:sz w:val="20"/>
        </w:rPr>
        <w:t xml:space="preserve">Accounts receivable, net </w:t>
      </w:r>
      <w:r>
        <w:rPr>
          <w:rFonts w:ascii="Times New Roman;sans-serif" w:hAnsi="Times New Roman;sans-serif"/>
          <w:b w:val="false"/>
          <w:color w:val="000000"/>
          <w:sz w:val="20"/>
        </w:rPr>
        <w:t>on the condensed consolidated balance sheets. Both amounts are generally affected by changes in gross product sales, changes in the provision for net product sales deductions, and the timing of payments/credits.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a summary of activity with respect to accrued product returns and rebates during the periods indicated (dollars in thousands): </w:t>
      </w:r>
    </w:p>
    <w:tbl>
      <w:tblPr>
        <w:tblW w:w="9204" w:type="dxa"/>
        <w:jc w:val="left"/>
        <w:tblInd w:w="0" w:type="dxa"/>
        <w:tblCellMar>
          <w:top w:w="28" w:type="dxa"/>
          <w:left w:w="28" w:type="dxa"/>
          <w:bottom w:w="28" w:type="dxa"/>
          <w:right w:w="28" w:type="dxa"/>
        </w:tblCellMar>
      </w:tblPr>
      <w:tblGrid>
        <w:gridCol w:w="1189"/>
        <w:gridCol w:w="1044"/>
        <w:gridCol w:w="1051"/>
        <w:gridCol w:w="241"/>
        <w:gridCol w:w="826"/>
        <w:gridCol w:w="124"/>
        <w:gridCol w:w="124"/>
        <w:gridCol w:w="124"/>
        <w:gridCol w:w="124"/>
        <w:gridCol w:w="241"/>
        <w:gridCol w:w="946"/>
        <w:gridCol w:w="124"/>
        <w:gridCol w:w="109"/>
        <w:gridCol w:w="109"/>
        <w:gridCol w:w="109"/>
        <w:gridCol w:w="243"/>
        <w:gridCol w:w="831"/>
        <w:gridCol w:w="127"/>
        <w:gridCol w:w="109"/>
        <w:gridCol w:w="109"/>
        <w:gridCol w:w="109"/>
        <w:gridCol w:w="211"/>
        <w:gridCol w:w="826"/>
        <w:gridCol w:w="154"/>
      </w:tblGrid>
      <w:tr>
        <w:trPr/>
        <w:tc>
          <w:tcPr>
            <w:tcW w:w="1189"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Accrued Product Returns and Rebates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w:t>
              <w:br/>
              <w:t>Returns</w:t>
            </w:r>
          </w:p>
        </w:tc>
        <w:tc>
          <w:tcPr>
            <w:tcW w:w="37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w:t>
              <w:br/>
              <w:t>Rebates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w:t>
              <w:br/>
              <w:t>Sales Discounts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106,657 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164,660 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current year sales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6,203 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102,181 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15,661 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124,045 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relating to prior year sales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2,457 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104,638 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Actual payments/credits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(112,483)</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(16,498)</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(130,752)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49,040 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98,812 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9204" w:type="dxa"/>
        <w:jc w:val="left"/>
        <w:tblInd w:w="0" w:type="dxa"/>
        <w:tblCellMar>
          <w:top w:w="28" w:type="dxa"/>
          <w:left w:w="28" w:type="dxa"/>
          <w:bottom w:w="28" w:type="dxa"/>
          <w:right w:w="28" w:type="dxa"/>
        </w:tblCellMar>
      </w:tblPr>
      <w:tblGrid>
        <w:gridCol w:w="1189"/>
        <w:gridCol w:w="1044"/>
        <w:gridCol w:w="1051"/>
        <w:gridCol w:w="241"/>
        <w:gridCol w:w="826"/>
        <w:gridCol w:w="124"/>
        <w:gridCol w:w="124"/>
        <w:gridCol w:w="124"/>
        <w:gridCol w:w="124"/>
        <w:gridCol w:w="241"/>
        <w:gridCol w:w="946"/>
        <w:gridCol w:w="124"/>
        <w:gridCol w:w="109"/>
        <w:gridCol w:w="109"/>
        <w:gridCol w:w="109"/>
        <w:gridCol w:w="243"/>
        <w:gridCol w:w="831"/>
        <w:gridCol w:w="127"/>
        <w:gridCol w:w="109"/>
        <w:gridCol w:w="109"/>
        <w:gridCol w:w="109"/>
        <w:gridCol w:w="211"/>
        <w:gridCol w:w="826"/>
        <w:gridCol w:w="154"/>
      </w:tblGrid>
      <w:tr>
        <w:trPr/>
        <w:tc>
          <w:tcPr>
            <w:tcW w:w="1189"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3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Accrued Product Returns and Rebates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w:t>
              <w:br/>
              <w:t>Returns</w:t>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Product</w:t>
              <w:br/>
              <w:t>Rebates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Allowance for</w:t>
              <w:br/>
              <w:t>Sales Discounts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35,127 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97,597 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w:t>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current year sales</w:t>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109,130 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17,320 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130,457 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relating to prior year sales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109,489 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17,359 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Actual payments/credits</w:t>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(2,999)</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(102,138)</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(19,453)</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(124,590)</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35,233 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104,948 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11,443 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151,624 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Accrued Product Returns and Rebates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accrued product returns balance increased from $45.0 million as of December 31, 2022 to $49.0 million as of March 31, 2023 principally due to the timing of related return activity and an increase in provision for product returns primarily related to Qelbree.</w:t>
      </w:r>
    </w:p>
    <w:p>
      <w:pPr>
        <w:pStyle w:val="TextBody"/>
        <w:spacing w:lineRule="auto" w:line="26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accrued product rebates balance decreased from $106.7 million as of December 31, 2022 to $98.8 million as of March 31, 2023 due to lower gross sales primarily relating to the loss of patent exclusivity on Trokendi XR and timing of payments. </w:t>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Provision for Product Returns and Rebates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for product returns increased from $3.1 million for the three months ended March 31, 2022 to $5.8 million for the three months ended March 31, 2023. The increase was primarily attributable to an increase in volume of products sold with the launch of Qelbree, partially offset by lower sales of Trokendi XR.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16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provision for product rebates decreased from $109.5 million for the three months ended March 31, 2022 to $104.6 million for three months ended March 31, 2023. The decrease was primarily attributable to lower Trokendi XR sales partially offset by higher Qelbree sales.</w:t>
      </w:r>
    </w:p>
    <w:p>
      <w:pPr>
        <w:pStyle w:val="TextBody"/>
        <w:spacing w:lineRule="auto" w:line="288" w:before="200" w:after="200"/>
        <w:rPr>
          <w:rFonts w:ascii="Times New Roman;sans-serif" w:hAnsi="Times New Roman;sans-serif"/>
          <w:b w:val="false"/>
          <w:i/>
          <w:color w:val="000000"/>
          <w:sz w:val="20"/>
          <w:highlight w:val="white"/>
          <w:u w:val="single"/>
        </w:rPr>
      </w:pPr>
      <w:r>
        <w:rPr>
          <w:rFonts w:ascii="Times New Roman;sans-serif" w:hAnsi="Times New Roman;sans-serif"/>
          <w:b w:val="false"/>
          <w:i/>
          <w:color w:val="000000"/>
          <w:sz w:val="20"/>
          <w:highlight w:val="white"/>
          <w:u w:val="single"/>
        </w:rPr>
        <w:t>Royalty Revenues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Royalty revenues were $13.2 million and $5.0 million for the three months ended March 31, 2023 and 2022, respectively. The increase was primarily due to royalties on generic Trokendi XR for the three months ended March 31, 2023. The Company entered into settlement agreements on Trokendi XR that allowed third party generics to enter the market beginning January 1, 2023 and required them to pay royalties to the Company.</w:t>
      </w:r>
    </w:p>
    <w:p>
      <w:pPr>
        <w:pStyle w:val="TextBody"/>
        <w:spacing w:lineRule="auto" w:line="288" w:before="20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Cost of Goods Sold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Cost of goods sold was $23.5 million and $17.9 million for the three months ended March 31, 2023 and 2022, respectively. The $5.5 million increase was primarily due to higher Qelbree sales.</w:t>
      </w:r>
    </w:p>
    <w:p>
      <w:pPr>
        <w:pStyle w:val="TextBody"/>
        <w:spacing w:lineRule="auto" w:line="288" w:before="20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Research and Development Expenses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R&amp;D expenses were $21.2 million and $20.8 million for the three months ended March 31, 2023 and 2022, respectively. </w:t>
      </w:r>
    </w:p>
    <w:p>
      <w:pPr>
        <w:pStyle w:val="TextBody"/>
        <w:spacing w:lineRule="auto" w:line="288" w:before="20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Selling, General and Administrative Expenses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regarding our selling, general and administrative (SG&amp;A) expenses during the periods indicated (dollars in thousands):</w:t>
      </w:r>
    </w:p>
    <w:tbl>
      <w:tblPr>
        <w:tblW w:w="7194" w:type="dxa"/>
        <w:jc w:val="left"/>
        <w:tblInd w:w="0" w:type="dxa"/>
        <w:tblCellMar>
          <w:top w:w="28" w:type="dxa"/>
          <w:left w:w="28" w:type="dxa"/>
          <w:bottom w:w="28" w:type="dxa"/>
          <w:right w:w="28" w:type="dxa"/>
        </w:tblCellMar>
      </w:tblPr>
      <w:tblGrid>
        <w:gridCol w:w="873"/>
        <w:gridCol w:w="768"/>
        <w:gridCol w:w="773"/>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206"/>
        <w:gridCol w:w="206"/>
        <w:gridCol w:w="294"/>
      </w:tblGrid>
      <w:tr>
        <w:trPr/>
        <w:tc>
          <w:tcPr>
            <w:tcW w:w="873" w:type="dxa"/>
            <w:tcBorders/>
            <w:shd w:fill="auto" w:val="clear"/>
            <w:vAlign w:val="center"/>
          </w:tcPr>
          <w:p>
            <w:pPr>
              <w:pStyle w:val="TableContents"/>
              <w:spacing w:before="0" w:after="283"/>
              <w:rPr>
                <w:sz w:val="4"/>
                <w:szCs w:val="4"/>
              </w:rPr>
            </w:pPr>
            <w:r>
              <w:rPr>
                <w:sz w:val="4"/>
                <w:szCs w:val="4"/>
              </w:rPr>
            </w:r>
          </w:p>
        </w:tc>
        <w:tc>
          <w:tcPr>
            <w:tcW w:w="768"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4"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4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Percent</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Selling and marketing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General and administrative </w:t>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bl>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 decreased by 5% to $85.6 million for the three months ended March 31, 2023. The decrease in selling and marketing expenses was primarily attributable to decreased expenses related to field sales and professional consulting spend related to the commercial products. The decrease in general and administrative expenses was due to lower professional and consulting costs to support IT and finance operations.</w:t>
      </w:r>
    </w:p>
    <w:p>
      <w:pPr>
        <w:pStyle w:val="TextBody"/>
        <w:spacing w:lineRule="auto" w:line="288" w:before="20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Amortization of Intangible Assets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Amortization of intangible assets was $20.0 million and $20.6 million for the three months ended March 31, 2023 and 2022, respectively.</w:t>
      </w:r>
    </w:p>
    <w:p>
      <w:pPr>
        <w:pStyle w:val="TextBody"/>
        <w:spacing w:lineRule="auto" w:line="288" w:before="20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Contingent Consideration (Gain) Expense</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was a gain of $1.6 million and an expense of $0.7 million for the three months ended March 31, 2023 and 2022, respectively. The contingent consideration gain was primarily driven by the change in estimated fair value of regulatory and development milestones associated with the USWM Acquisition.</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Income (Expense)</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Other income (expense) was income of $3.8 million and $12.8 million for the three months ended March 31, 2023 and 2022, respectively. The $8.9 million decrease in other income was primarily due to the $12.9 million gain associated with the Navitor investment for the three months ended March 31, 2022.</w:t>
      </w:r>
    </w:p>
    <w:p>
      <w:pPr>
        <w:pStyle w:val="TextBody"/>
        <w:spacing w:lineRule="auto" w:line="288" w:before="200" w:after="283"/>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Income Tax Benefit</w:t>
      </w:r>
    </w:p>
    <w:p>
      <w:pPr>
        <w:pStyle w:val="TextBody"/>
        <w:spacing w:lineRule="auto" w:line="288" w:before="200" w:after="283"/>
        <w:ind w:left="0" w:right="0" w:firstLine="720"/>
        <w:rPr/>
      </w:pPr>
      <w:r>
        <w:rPr>
          <w:rFonts w:ascii="Times New Roman;sans-serif" w:hAnsi="Times New Roman;sans-serif"/>
          <w:b w:val="false"/>
          <w:color w:val="000000"/>
          <w:sz w:val="20"/>
        </w:rPr>
        <w:t xml:space="preserve">Income tax benefit of $7.9 million for the three months ended March 31, 2023, as compared to $10.9 million for the three months ended March 31, 2022, decreased mainly due to the tax benefit from Adamas legal entity restructuring in the first quarter of 2022. ASC 740, </w:t>
      </w:r>
      <w:r>
        <w:rPr>
          <w:rFonts w:ascii="Times New Roman;sans-serif" w:hAnsi="Times New Roman;sans-serif"/>
          <w:b w:val="false"/>
          <w:i/>
          <w:color w:val="000000"/>
          <w:sz w:val="20"/>
        </w:rPr>
        <w:t>Income Taxes</w:t>
      </w:r>
      <w:r>
        <w:rPr>
          <w:color w:val="000000"/>
        </w:rPr>
        <w:t xml:space="preserve"> </w:t>
      </w:r>
      <w:r>
        <w:rPr>
          <w:rFonts w:ascii="Times New Roman;sans-serif" w:hAnsi="Times New Roman;sans-serif"/>
          <w:b w:val="false"/>
          <w:color w:val="000000"/>
          <w:sz w:val="20"/>
        </w:rPr>
        <w:t xml:space="preserve">(ASC 740), requires an estimate of the annual effective income tax rate for the full year and apply it to pre-tax income (loss) for each interim period, taking into account year-to-date amounts and projected results for the full year. The effective tax rate was (88.0)% for the three months ended March 31, 2023, as compared to (74.0)% for the three months ended March 31, 2022. The decrease was mainly due to lower pretax earnings forecasted for 2023. The annual forecasted earnings represents the Company's best estimate as of March 31, 2023 and is subject to changes, which could have a material impact on the effective tax rate in subsequent periods.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Financial Condition, Liquidity and Capital Resources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financed our operations primarily with cash generated from product sales, supplemented by revenues from royalty and licensing arrangements, as well as proceeds from the sale of equity and debt securities. Continued cash generation is highly dependent on the success of our commercial products, as well as the success of our product candidates if approved by the FDA. While we expect continued profitability in future years, we anticipate there may be significant variability from year to year in the level of our profits particularly due to the commercial launch of Qelbree and the future commercial launch of SPN-830 (apomorphine infusion device), if approved by the FDA; continued market and payor pressures for our commercial products; and the unfavorable impact of the loss of patent exclusivity for Trokendi XR in January 2023.</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believes its balances of cash, cash equivalents, restricted cash, and unrestricted marketable securities, which totaled $686.5 million as of March 31, 2023, along with cash generated from ongoing operations and continued access to debt markets, will be sufficient to satisfy its cash requirements over the next 12 months and beyond.</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consider raising additional capital through: new collaborative arrangements; strategic alliances; additional equity and/or debt financings; or financing from other sources, especially in conjunction with opportunistic business development initiatives. We will continue to actively manage our capital structure and to consider all financing opportunities that could strengthen our long-term financial profile. Any such capital raises may or may not be similar to transactions in which we have engaged in the past. There can be no assurance that any such financing opportunities will be available on acceptable terms, if at all.</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Cash and Cash Equivalents, Restricted Cash and Marketable Securities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marketable securities, and long-term marketable securities are comprised of the following (dollars in thousands): </w:t>
      </w:r>
    </w:p>
    <w:tbl>
      <w:tblPr>
        <w:tblW w:w="7870" w:type="dxa"/>
        <w:jc w:val="center"/>
        <w:tblInd w:w="0" w:type="dxa"/>
        <w:tblCellMar>
          <w:top w:w="28" w:type="dxa"/>
          <w:left w:w="28" w:type="dxa"/>
          <w:bottom w:w="28" w:type="dxa"/>
          <w:right w:w="28" w:type="dxa"/>
        </w:tblCellMar>
      </w:tblPr>
      <w:tblGrid>
        <w:gridCol w:w="989"/>
        <w:gridCol w:w="868"/>
        <w:gridCol w:w="87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211"/>
        <w:gridCol w:w="299"/>
      </w:tblGrid>
      <w:tr>
        <w:trPr/>
        <w:tc>
          <w:tcPr>
            <w:tcW w:w="989"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w:t>
            </w:r>
          </w:p>
        </w:tc>
      </w:tr>
      <w:tr>
        <w:trPr/>
        <w:tc>
          <w:tcPr>
            <w:tcW w:w="273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Percent</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(198,088)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marketable securities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93,896 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686,483 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555,230 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r>
    </w:tbl>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increase is primarily attributable to cash generated from operations and net amount drawn on the line of credit.</w:t>
      </w:r>
    </w:p>
    <w:p>
      <w:pPr>
        <w:pStyle w:val="TextBody"/>
        <w:spacing w:lineRule="auto" w:line="288" w:before="200" w:after="200"/>
        <w:rPr>
          <w:rFonts w:ascii="Times New Roman;sans-serif" w:hAnsi="Times New Roman;sans-serif"/>
          <w:b w:val="false"/>
          <w:i/>
          <w:color w:val="000000"/>
          <w:sz w:val="20"/>
        </w:rPr>
      </w:pPr>
      <w:r>
        <w:rPr>
          <w:rFonts w:ascii="Times New Roman;sans-serif" w:hAnsi="Times New Roman;sans-serif"/>
          <w:b w:val="false"/>
          <w:i/>
          <w:color w:val="000000"/>
          <w:sz w:val="20"/>
        </w:rPr>
        <w:t>Restricted Cash</w:t>
      </w:r>
    </w:p>
    <w:p>
      <w:pPr>
        <w:pStyle w:val="TextBody"/>
        <w:spacing w:lineRule="auto" w:line="288" w:before="200" w:after="200"/>
        <w:ind w:left="0" w:right="0" w:firstLine="720"/>
        <w:rPr/>
      </w:pPr>
      <w:r>
        <w:rPr>
          <w:rFonts w:ascii="Times New Roman;sans-serif" w:hAnsi="Times New Roman;sans-serif"/>
          <w:b w:val="false"/>
          <w:color w:val="000000"/>
          <w:sz w:val="20"/>
        </w:rPr>
        <w:t xml:space="preserve">Restricted cash was $403.8 million as of March 31, 2023 and consists of deposits that are restricted as to their use. On March 30, 2023, the Company transferred funds to the Trustee (Wilmington Trust) related to the repayment of the 0.625% Convertible Senior Notes due 2023 (2023 Notes) which is presented as </w:t>
      </w:r>
      <w:r>
        <w:rPr>
          <w:rFonts w:ascii="Times New Roman;sans-serif" w:hAnsi="Times New Roman;sans-serif"/>
          <w:b w:val="false"/>
          <w:i/>
          <w:color w:val="000000"/>
          <w:sz w:val="20"/>
        </w:rPr>
        <w:t>Restricted cash</w:t>
      </w:r>
      <w:r>
        <w:rPr>
          <w:color w:val="000000"/>
        </w:rPr>
        <w:t xml:space="preserve"> </w:t>
      </w:r>
      <w:r>
        <w:rPr>
          <w:rFonts w:ascii="Times New Roman;sans-serif" w:hAnsi="Times New Roman;sans-serif"/>
          <w:b w:val="false"/>
          <w:color w:val="000000"/>
          <w:sz w:val="20"/>
        </w:rPr>
        <w:t>on the condensed consolidated balance sheets as of March 31, 2023. On April 1, 2023, the Company paid the total principal amount due of $402.5 million under the 2023 Notes and the remaining outstanding interest due of $1.3 million.</w:t>
      </w:r>
    </w:p>
    <w:p>
      <w:pPr>
        <w:pStyle w:val="TextBody"/>
        <w:spacing w:lineRule="auto" w:line="288" w:before="200" w:after="200"/>
        <w:rPr>
          <w:rFonts w:ascii="Times New Roman;sans-serif" w:hAnsi="Times New Roman;sans-serif"/>
          <w:b/>
          <w:i/>
          <w:color w:val="000000"/>
          <w:sz w:val="20"/>
        </w:rPr>
      </w:pPr>
      <w:r>
        <w:rPr>
          <w:rFonts w:ascii="Times New Roman;sans-serif" w:hAnsi="Times New Roman;sans-serif"/>
          <w:b/>
          <w:i/>
          <w:color w:val="000000"/>
          <w:sz w:val="20"/>
        </w:rPr>
        <w:t xml:space="preserve">Cash Flows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Cash flows are comprised of the following (dollars in thousands):</w:t>
      </w:r>
    </w:p>
    <w:tbl>
      <w:tblPr>
        <w:tblW w:w="9012" w:type="dxa"/>
        <w:jc w:val="left"/>
        <w:tblInd w:w="0" w:type="dxa"/>
        <w:tblCellMar>
          <w:top w:w="28" w:type="dxa"/>
          <w:left w:w="28" w:type="dxa"/>
          <w:bottom w:w="28" w:type="dxa"/>
          <w:right w:w="28" w:type="dxa"/>
        </w:tblCellMar>
      </w:tblPr>
      <w:tblGrid>
        <w:gridCol w:w="1765"/>
        <w:gridCol w:w="1550"/>
        <w:gridCol w:w="1560"/>
        <w:gridCol w:w="211"/>
        <w:gridCol w:w="826"/>
        <w:gridCol w:w="109"/>
        <w:gridCol w:w="109"/>
        <w:gridCol w:w="109"/>
        <w:gridCol w:w="109"/>
        <w:gridCol w:w="211"/>
        <w:gridCol w:w="826"/>
        <w:gridCol w:w="109"/>
        <w:gridCol w:w="109"/>
        <w:gridCol w:w="109"/>
        <w:gridCol w:w="109"/>
        <w:gridCol w:w="211"/>
        <w:gridCol w:w="826"/>
        <w:gridCol w:w="154"/>
      </w:tblGrid>
      <w:tr>
        <w:trPr/>
        <w:tc>
          <w:tcPr>
            <w:tcW w:w="1765" w:type="dxa"/>
            <w:tcBorders/>
            <w:shd w:fill="auto" w:val="clear"/>
            <w:vAlign w:val="center"/>
          </w:tcPr>
          <w:p>
            <w:pPr>
              <w:pStyle w:val="TableContents"/>
              <w:spacing w:before="0" w:after="283"/>
              <w:rPr>
                <w:sz w:val="4"/>
                <w:szCs w:val="4"/>
              </w:rPr>
            </w:pPr>
            <w:r>
              <w:rPr>
                <w:sz w:val="4"/>
                <w:szCs w:val="4"/>
              </w:rPr>
            </w:r>
          </w:p>
        </w:tc>
        <w:tc>
          <w:tcPr>
            <w:tcW w:w="1550" w:type="dxa"/>
            <w:tcBorders/>
            <w:shd w:fill="auto" w:val="clear"/>
            <w:vAlign w:val="center"/>
          </w:tcPr>
          <w:p>
            <w:pPr>
              <w:pStyle w:val="TableContents"/>
              <w:spacing w:before="0" w:after="283"/>
              <w:rPr>
                <w:sz w:val="4"/>
                <w:szCs w:val="4"/>
              </w:rPr>
            </w:pPr>
            <w:r>
              <w:rPr>
                <w:sz w:val="4"/>
                <w:szCs w:val="4"/>
              </w:rPr>
            </w:r>
          </w:p>
        </w:tc>
        <w:tc>
          <w:tcPr>
            <w:tcW w:w="156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48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r>
      <w:tr>
        <w:trPr/>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Net cash provided by (used in): </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Operating activities </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44,824 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Investing activities </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239,780 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(69,987)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Financing activities </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102,208 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Net change in cash, cash equivalents, and restricted 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456,799 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year</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203,434 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(110,314)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8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462,200 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8" w:space="0" w:color="000000"/>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0" w:after="283"/>
        <w:ind w:left="0" w:right="0" w:firstLine="720"/>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$49.1 million and $4.3 million for the three months ended March 31, 2023, and 2022, respectively. The increase in cash flows provided by operating activities is primarily due to changes in working capital which reflects the timing impacts of: cash collections on receivables and settlement of payables.</w:t>
      </w:r>
    </w:p>
    <w:p>
      <w:pPr>
        <w:pStyle w:val="TextBody"/>
        <w:spacing w:before="200" w:after="283"/>
        <w:rPr/>
      </w:pPr>
      <w:r>
        <w:rPr/>
      </w:r>
    </w:p>
    <w:p>
      <w:pPr>
        <w:pStyle w:val="TextBody"/>
        <w:spacing w:before="200" w:after="283"/>
        <w:rPr/>
      </w:pPr>
      <w:r>
        <w:rPr/>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was $239.8 million for the three months ended March 31, 2023 compared to $70.0 million used during the same period in 2022, primarily due to the cash flows from the sale and maturities of investments in marketable securities.</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lineRule="auto" w:line="288" w:before="200" w:after="283"/>
        <w:ind w:left="0" w:right="0" w:firstLine="720"/>
        <w:rPr/>
      </w:pPr>
      <w:r>
        <w:rPr>
          <w:rFonts w:ascii="Times New Roman;sans-serif" w:hAnsi="Times New Roman;sans-serif"/>
          <w:b w:val="false"/>
          <w:color w:val="000000"/>
          <w:sz w:val="20"/>
        </w:rPr>
        <w:t>Net cash provided by financing activities were $80.2 million for the three months ended March 31, 2023</w:t>
      </w:r>
      <w:r>
        <w:rPr>
          <w:color w:val="000000"/>
          <w:highlight w:val="white"/>
        </w:rPr>
        <w:t xml:space="preserve"> </w:t>
      </w:r>
      <w:r>
        <w:rPr>
          <w:rFonts w:ascii="Times New Roman;sans-serif" w:hAnsi="Times New Roman;sans-serif"/>
          <w:b w:val="false"/>
          <w:color w:val="000000"/>
          <w:sz w:val="20"/>
          <w:highlight w:val="white"/>
        </w:rPr>
        <w:t>compared to $22.0 million used during</w:t>
      </w:r>
      <w:r>
        <w:rPr>
          <w:color w:val="000000"/>
        </w:rPr>
        <w:t xml:space="preserve"> </w:t>
      </w:r>
      <w:r>
        <w:rPr>
          <w:rFonts w:ascii="Times New Roman;sans-serif" w:hAnsi="Times New Roman;sans-serif"/>
          <w:b w:val="false"/>
          <w:color w:val="000000"/>
          <w:sz w:val="20"/>
        </w:rPr>
        <w:t>the same period in 2022,</w:t>
      </w:r>
      <w:r>
        <w:rPr>
          <w:color w:val="000000"/>
          <w:highlight w:val="white"/>
        </w:rPr>
        <w:t xml:space="preserve"> </w:t>
      </w:r>
      <w:r>
        <w:rPr>
          <w:rFonts w:ascii="Times New Roman;sans-serif" w:hAnsi="Times New Roman;sans-serif"/>
          <w:b w:val="false"/>
          <w:color w:val="000000"/>
          <w:sz w:val="20"/>
          <w:highlight w:val="white"/>
        </w:rPr>
        <w:t xml:space="preserve">primarily due to the net proceeds from the draw on the line of credit in the first quarter of 2023 and the payment of a contingent consideration milestone associated with the USWM Acquisition during the same period in </w:t>
      </w:r>
      <w:r>
        <w:rPr>
          <w:rFonts w:ascii="Times New Roman;sans-serif" w:hAnsi="Times New Roman;sans-serif"/>
          <w:b w:val="false"/>
          <w:color w:val="000000"/>
          <w:sz w:val="20"/>
        </w:rPr>
        <w:t>2022</w:t>
      </w:r>
      <w:r>
        <w:rPr>
          <w:rFonts w:ascii="Times New Roman;sans-serif" w:hAnsi="Times New Roman;sans-serif"/>
          <w:b w:val="false"/>
          <w:color w:val="000000"/>
          <w:sz w:val="20"/>
          <w:highlight w:val="white"/>
        </w:rPr>
        <w:t xml:space="preserve">. </w:t>
      </w:r>
    </w:p>
    <w:p>
      <w:pPr>
        <w:pStyle w:val="TextBody"/>
        <w:spacing w:lineRule="auto" w:line="288" w:before="200" w:after="283"/>
        <w:rPr>
          <w:rFonts w:ascii="Times New Roman;sans-serif" w:hAnsi="Times New Roman;sans-serif"/>
          <w:b/>
          <w:i/>
          <w:color w:val="000000"/>
          <w:sz w:val="20"/>
        </w:rPr>
      </w:pPr>
      <w:r>
        <w:rPr>
          <w:rFonts w:ascii="Times New Roman;sans-serif" w:hAnsi="Times New Roman;sans-serif"/>
          <w:b/>
          <w:i/>
          <w:color w:val="000000"/>
          <w:sz w:val="20"/>
        </w:rPr>
        <w:t>Material Cash Requirements</w:t>
      </w:r>
    </w:p>
    <w:p>
      <w:pPr>
        <w:pStyle w:val="TextBody"/>
        <w:spacing w:lineRule="auto" w:line="288" w:before="200" w:after="283"/>
        <w:ind w:left="0" w:right="0" w:firstLine="720"/>
        <w:rPr/>
      </w:pPr>
      <w:r>
        <w:rPr>
          <w:rFonts w:ascii="Times New Roman;sans-serif" w:hAnsi="Times New Roman;sans-serif"/>
          <w:b w:val="false"/>
          <w:color w:val="000000"/>
          <w:sz w:val="20"/>
        </w:rPr>
        <w:t xml:space="preserve">Refer to “Part II, Item 7 — Management’s Discussion and Analysis of Liquidity and Capital Resources”, of our Annual Report on Form 10-K for the year ended December 31, 2022, and Note 15, </w:t>
      </w:r>
      <w:r>
        <w:rPr>
          <w:rFonts w:ascii="Times New Roman;sans-serif" w:hAnsi="Times New Roman;sans-serif"/>
          <w:b w:val="false"/>
          <w:i/>
          <w:color w:val="000000"/>
          <w:sz w:val="20"/>
        </w:rPr>
        <w:t>Commitments and Contingencies</w:t>
      </w:r>
      <w:r>
        <w:rPr>
          <w:rFonts w:ascii="Times New Roman;sans-serif" w:hAnsi="Times New Roman;sans-serif"/>
          <w:b w:val="false"/>
          <w:color w:val="000000"/>
          <w:sz w:val="20"/>
        </w:rPr>
        <w:t xml:space="preserve">, in the Notes to the Condensed Consolidated Financial Statements in Part I, Item 1, Unaudited Condensed Consolidated Financial Statements, of this Quarterly Report on Form 10-Q for the discussion of our contractual obligations.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Recently Issued Accounting Pronouncements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For a discussion of new accounting pronouncements, see Note 2 in the Notes to the Condensed Consolidated Financial Statements in Part I, Item 1, Unaudited Condensed Consolidated Financial Statements, of this Quarterly Report on Form 10-Q.</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ind w:left="0" w:right="0" w:hanging="360"/>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objective of our investment activities is to preserve our capital to fund operations and to facilitate business development activities. We also seek to maximize income from our investments without assuming significant interest rate risk, liquidity risk, or risk of default by investing in investment grade securities with maturities of four years or less. Our exposure to market risk is confined to investments in cash and cash equivalents, marketable securities, and long-term marketable securities. As of March 31, 2023, we had cash and cash equivalents, marketable securities, and long-term marketable securities of $282.7 million.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fully repaid the outstanding principal and interest on the 2023 Notes in April 2023.</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have borrowed and may continue to borrow funds pursuant to our Credit Line. Variable rate borrowing exposes us to interest rate risk as increases in interest rates would increase our borrowing costs.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borrowed funds pursuant to our Credit Line are subject to a collateral maintenance requirement. The Credit Line is secured primarily by our portfolio of marketable securities, which is primarily comprised of corporate and U.S. government agency and municipal debt securities and may fluctuate in value. The fluctuations may be driven by, among other things, changes in interest rates, economic conditions, and other financial conditions as well as idiosyncratic factors related to a security’s issuer. To the extent a fluctuation in value results in the value of the collateral decreasing below the required collateral maintenance requirements we may be required to promptly post additional collateral. Additionally, our Credit Line is an uncommitted facility that may be terminated by the lender at any time. During periods of rapidly changing interest rates, economic conditions or other financial conditions, the Credit Line may be terminated by the lender and/or the lender may declare that all borrowings thereunder are immediately due.</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cash and cash equivalents consist primarily of cash held at banks and investments in highly liquid financial instruments with an original maturity of three months or less. Our marketable securities, which are reported at fair value, consist of money market funds; corporate and municipal debt securities; and other fixed income securities. We place all investments with governmental, industrial, or financial institutions whose debt is rated as investment grade. These securities have maturities of one to four years. Because of the relatively short period that we hold our investments and because we generally hold these securities to maturity, we do not believe that an increase in interest rates would have any significant impact on the realizable value of our investments. </w:t>
      </w:r>
    </w:p>
    <w:p>
      <w:pPr>
        <w:pStyle w:val="TextBody"/>
        <w:spacing w:lineRule="auto" w:line="256"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We do not have any currency or other derivative financial instruments other than the outstanding warrants to purchase common stock. The warrants expire in tranches, if unexercised, on or before November 22, 2023. The warrants entitle the holder to one share per warrant. The strike price of the warrants will initially be $80.91 per share of the Company’s common stock, and is subject to adjustment. The warrants could have a dilutive effect with respect to the Company’s common stock, to the extent that the market price per share of the Company’s common stock, as measured under the terms of the Warrant Transactions, exceeds the strike price of the warrants.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may contract with clinical research organizations (CROs) and investigational sites globally. Currently, we have two programs with ongoing clinical trials being conducted outside the U.S. We do not hedge our foreign currency exchange rate risk. Transactions denominated in currencies other than the U.S. dollar are recorded based on exchange rates at the time such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transactions arise. As of March 31, 2023 and December 31, 2022, substantially all of our liabilities were denominated in the U.S. dollar.</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Inflation generally affects us by increasing our cost of labor and the cost of services provided by our vendors. 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disclosure controls and procedures required by Rule 13a-15(e) and 15d-15(e) of the Securities Exchange Act of 1934, as amended, or the Exchange Act. Our disclosure controls and procedures are designed to provide reasonable assurance that the information required to be disclosed by us in the reports we file or submit under the Exchange Act has been appropriately recorded, processed, summarized, and reported within the time periods specified in the Securities and Exchange Commission's rules and forms and that such information is accumulated and communicated to our management, including our CEO and CFO, to allow timely decisions regarding required disclosure. We conducted an evaluation of the effectiveness of the design and operation of our disclosure controls and procedures as of March 31, 2023, the end of the period covered by this report. Based on that evaluation, under the supervision and with the participation of our management, including our CEO and CFO, we concluded that our disclosure controls and procedures are effective as of March 31, 2023. </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Remediation of Previously Disclosed Material Weakness in Internal Control over Financial Reporting</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As disclosed in “Item 9A. Controls and Procedures” in our Annual Report on Form 10-K as of December 31, 2022, we identified material weaknesses in our internal control over financial reporting due to 1) the lack of qualified resources and an adequate risk assessment over the design and effective operation of controls in our inventory and cost of goods sold processes and 2) the lack of an adequate risk assessment over the design and effective operation of controls that would affect our estimation of accrued product rebates.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took several steps to remediate the previously disclosed material weaknesses including the following: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1) For the inventory and cost of goods sold processes, we hired new inventory personnel during the fourth quarter of 2022, performed risk assessment procedures, and redesigned certain controls and procedures.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2) For our estimation of accrued commercial product rebates, we performed additional risk assessment procedures and redesigned controls as necessary.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Management completed their remediation efforts described above and has concluded through testing, that the controls are operating effectively, and the material weaknesses in our internal controls over financial reporting have been remediated. </w:t>
      </w: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including our CEO and CFO, evaluated changes in our internal control over financial reporting that occurred during the quarter ended March 31, 2023. </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Except for the above noted activities to remediate the material weaknesses previously reported, there were no other changes in our internal control over financial reporting identified in connection with the evaluation required by paragraph (d) of Exchange Act Rule 13a-15 that occurred during the quarter ended March 31, 2023 that have materially affected or are reasonably likely to materially affect, our internal control over financial reporting.</w:t>
      </w:r>
    </w:p>
    <w:p>
      <w:pPr>
        <w:pStyle w:val="TextBody"/>
        <w:spacing w:before="200" w:after="283"/>
        <w:ind w:left="0" w:right="0" w:firstLine="720"/>
        <w:rPr/>
      </w:pPr>
      <w:r>
        <w:rPr/>
      </w:r>
    </w:p>
    <w:p>
      <w:pPr>
        <w:pStyle w:val="TextBody"/>
        <w:spacing w:before="200" w:after="283"/>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00"/>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and in the ordinary course of business, Supernus Pharmaceuticals, Inc. ("Company") and any of its subsidiaries may be subject to various claims, charges and litigation. Parent and any of its subsidiaries may be required to file infringement claims against third parties for the infringement of our patents. </w:t>
      </w:r>
    </w:p>
    <w:p>
      <w:pPr>
        <w:pStyle w:val="TextBody"/>
        <w:spacing w:lineRule="auto" w:line="288" w:before="200" w:after="200"/>
        <w:rPr>
          <w:rFonts w:ascii="Times New Roman;sans-serif" w:hAnsi="Times New Roman;sans-serif"/>
          <w:b/>
          <w:i/>
          <w:color w:val="000000"/>
          <w:sz w:val="20"/>
        </w:rPr>
      </w:pPr>
      <w:r>
        <w:rPr>
          <w:rFonts w:ascii="Times New Roman;sans-serif" w:hAnsi="Times New Roman;sans-serif"/>
          <w:b/>
          <w:i/>
          <w:color w:val="000000"/>
          <w:sz w:val="20"/>
        </w:rPr>
        <w:t>Oxtellar XR®</w:t>
      </w:r>
    </w:p>
    <w:p>
      <w:pPr>
        <w:pStyle w:val="TextBody"/>
        <w:spacing w:lineRule="auto" w:line="288" w:before="200" w:after="200"/>
        <w:ind w:left="0" w:right="0" w:hanging="360"/>
        <w:rPr>
          <w:rFonts w:ascii="Times New Roman;sans-serif" w:hAnsi="Times New Roman;sans-serif"/>
          <w:b/>
          <w:color w:val="000000"/>
          <w:sz w:val="20"/>
        </w:rPr>
      </w:pPr>
      <w:r>
        <w:rPr>
          <w:rFonts w:ascii="Times New Roman;sans-serif" w:hAnsi="Times New Roman;sans-serif"/>
          <w:b/>
          <w:color w:val="000000"/>
          <w:sz w:val="20"/>
        </w:rPr>
        <w:t>I. Supernus Pharmaceuticals, Inc. v. Apotex Inc., et al., C.A. No. 20-cv-7870 (FLW)(TJB) (D.N.J.)</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received a Paragraph IV Notice Letter from generic drug makers Apotex Inc. and Apotex Corp. (collectively, “Apotex”) dated May 13, 2020 directed to nine of its Oxtellar XR® Orange Book patents. Supernus’s U.S. Patent Nos. 7,722,898; 7,910,131; 8,617,600; 8,821,930; 9,119,791; 9,351,975; 9,370,525; 9,855,278; and 10,220,042 generally cover once-a-day oxcarbazepine formulations and methods of treating seizures using those formulations. The FDA Orange Book lists all nine of the Company’s Oxtellar XR® patents as expiring on April 13, 2027. On June 26, 2020, the Company filed a lawsuit against Apotex alleging infringement of the Company’s nine patents. The Complaint—filed in the U.S. District Court for the District of New Jersey—alleges, inter alia, that Apotex infringed the Company’s Oxtellar XR® patents by submitting to the FDA an Abbreviated New Drug Application (“ANDA”) seeking to market a generic version of Oxtellar XR® prior to the expiration of the Company’s patents. Filing its June 26, 2020 Complaint within 45 days of receiving Apotex’s Paragraph IV certification notice entitles Supernus to an automatic stay preventing the FDA from approving Apotex’s ANDA for 30 months from the date of the Company’s receipt of the Paragraph IV Notice Letter. On September 4, 2020, Apotex answered the Complaint and denied the substantive allegations of the Complaint, asserting affirmative defenses that include non-infringement and invalidity. Apotex also asserted Counterclaims seeking declaratory judgments of non-infringement for the nine Oxtellar XR® Orange Book patents. On October 30, 2020, the Company filed its Reply, denying the substantive allegations of Apotex’s Counterclaims. On January 27, 2022, the Court issued an Order staying all litigation proceedings and administratively terminated the action. The Court lifted the stay on July 1, 2022. Pursuant to the Court’s January 27, 2022 and July 1, 2022 Orders, the 30-month Stay was extended by 152 days from November 14, 2022 to April 15, 2023. On August 1, 2022, the Court issued an Order consolidating this lawsuit with another pending lawsuit against Apotex, C.A. No. 22-cv-322 (D.N.J.), discussed in Section II, below. The Court issued a revised Scheduling Order on December 20, 2022 that further extends the 30-month stay. The Court issued a Text Order on March 28, 2023 that scheduled the bench trial in this matter to commence on July 3, 2023. Pretrial discovery is ongoing as of the date of this submission.</w:t>
      </w:r>
    </w:p>
    <w:p>
      <w:pPr>
        <w:pStyle w:val="TextBody"/>
        <w:spacing w:lineRule="auto" w:line="288" w:before="200" w:after="200"/>
        <w:ind w:left="0" w:right="0" w:hanging="360"/>
        <w:rPr>
          <w:rFonts w:ascii="Times New Roman;sans-serif" w:hAnsi="Times New Roman;sans-serif"/>
          <w:b/>
          <w:color w:val="000000"/>
          <w:sz w:val="20"/>
        </w:rPr>
      </w:pPr>
      <w:r>
        <w:rPr>
          <w:rFonts w:ascii="Times New Roman;sans-serif" w:hAnsi="Times New Roman;sans-serif"/>
          <w:b/>
          <w:color w:val="000000"/>
          <w:sz w:val="20"/>
        </w:rPr>
        <w:t>II. Supernus Pharmaceuticals, Inc. v. Apotex Inc., et al., C.A. No. 22-cv-322 (FLW)(TJB) (D.N.J.)</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received a Paragraph IV Notice Letter from generic drug makers Apotex Inc. and Apotex Corp. (collectively, “Apotex”) dated December 10, 2021 directed to one of its Oxtellar XR® Orange Book patents. Supernus’s U.S. Patent No. 11,166,960 generally covers once-a-day oxcarbazepine formulations and methods of treating seizures using those formulations. The FDA Orange Book lists U.S. Patent No. 11,166,960 as expiring on April 13, 2027. On January 24, 2022, the Company filed a lawsuit against Apotex alleging infringement of U.S. Patent No. 11,166,960. The Complaint—filed in the U.S. District Court for the District of New Jersey—alleges, inter alia, that Apotex infringed U.S. Patent No. 11,166,960 by submitting to the FDA an Abbreviated New Drug Application (“ANDA”) seeking to market a generic version of Oxtellar XR® prior to the expiration of U.S. Patent No. 11,166,960. On January 27, 2022, in related action, C.A. No. 20-cv-7870 (D.N.J.), the Court issued an Order staying all litigation proceedings and administratively terminated that related action. That Order further indicated that this action, i.e., C.A. No. 22-cv-322 (D.N.J.), will also be stayed. The Court lifted the stay of both actions on July 1, 2022. Pursuant to the Court’s January 27, 2022 and July 1, 2022 Orders, the 30-month Stay was extended by 152 days from November 14, 2022 to April 15, 2023. On August 1, 2022, the Court issued an Order consolidating this lawsuit with another pending lawsuit against Apotex, C.A. No. 20-cv-7870 (D.N.J.), discussed in Section 1, above, and administratively terminated C.A. No. 22-cv-322. As of the date of this submission, C.A. No. 22-cv-322 (D.N.J.) remains administratively terminated.</w:t>
      </w:r>
    </w:p>
    <w:p>
      <w:pPr>
        <w:pStyle w:val="TextBody"/>
        <w:spacing w:lineRule="auto" w:line="288" w:before="200" w:after="200"/>
        <w:ind w:left="0" w:right="0" w:hanging="360"/>
        <w:rPr>
          <w:rFonts w:ascii="Times New Roman;sans-serif" w:hAnsi="Times New Roman;sans-serif"/>
          <w:b/>
          <w:color w:val="000000"/>
          <w:sz w:val="20"/>
        </w:rPr>
      </w:pPr>
      <w:r>
        <w:rPr>
          <w:rFonts w:ascii="Times New Roman;sans-serif" w:hAnsi="Times New Roman;sans-serif"/>
          <w:b/>
          <w:color w:val="000000"/>
          <w:sz w:val="20"/>
        </w:rPr>
        <w:t>III. Supernus Pharmaceuticals, Inc. v. RiconPharma LLC, et al., C.A. No. 21-cv-12133 (FLW)(TJB) (D.N.J.)</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received a Paragraph IV Notice Letter from generic drug maker RiconPharma LLC dated April 20, 2021 directed to nine of its Oxtellar XR® Orange Book patents. Supernus’s U.S. Patent Nos. 7,722,898; 7,910,131; 8,617,600; 8,821,930; 9,119,791; 9,351,975; 9,370,525; 9,855,278; and 10,220,042 generally cover once-a-day oxcarbazepine formulations and methods of treating seizures using those formulations. The FDA Orange Book lists all nine of the Company’s Oxtellar XR® patents as expiring on April 13, 2027. On June 3, 2021, the Company filed a lawsuit against RiconPharma LLC and Ingenus Pharmaceuticals, LLC (collectively, “Ricon”) alleging infringement of the Company’s nine Oxtellar XR® patents. The Complaint—filed in the U.S. District Court for the District of New Jersey—alleges, inter alia, that Ricon infringed the Company’s Oxtellar XR® patents by submitting to the FDA an Abbreviated New Drug Application (“ANDA”) seeking to market a generic version of Oxtellar XR® prior to the expiration of the Company’s patents. Filing its June 3, 2021 Complaint within 45 days of </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receiving Ricon’s Paragraph IV certification notice entitles Supernus to an automatic stay preventing the FDA from approving Ricon’s ANDA for 30 months from the date of the Company’s receipt of the Paragraph IV Notice Letter. On August 30, 2021, Ricon answered the Complaint and denied the substantive allegations of the Complaint, asserting affirmative defenses that include non-infringement and invalidity. Ricon also asserted Counterclaims seeking declaratory judgments of non</w:t>
        <w:noBreakHyphen/>
        <w:t>infringement for the nine Oxtellar XR® Orange Book patents. Supernus filed a motion to strike the jury demand in Ricon’s answer. On December 6, 2021, the Court signed an Order withdrawing the Jury demand from Ricon’s answer. On December 13, 2021, Ricon filed an amended Answer to Supernus’s Complaint. On December 15, 2021, the Company filed its reply, denying the substantive allegations of Ricon’s Counterclaims. On November 22, 2022, the Court issued an Order consolidating for all purposes this lawsuit with another pending lawsuit against Ricon, C.A. No. 22-cv-6340 (D.N.J.), discussed in Section IV below. The Court issued a revised Scheduling Order on April 28, 2023 that provides a Joint Final Pretrial Order deadline of April 11, 2024. Pretrial discovery is ongoing as of the date of this submission.</w:t>
      </w:r>
    </w:p>
    <w:p>
      <w:pPr>
        <w:pStyle w:val="TextBody"/>
        <w:spacing w:lineRule="auto" w:line="288" w:before="200" w:after="200"/>
        <w:ind w:left="0" w:right="0" w:hanging="360"/>
        <w:rPr>
          <w:rFonts w:ascii="Times New Roman;sans-serif" w:hAnsi="Times New Roman;sans-serif"/>
          <w:b/>
          <w:color w:val="000000"/>
          <w:sz w:val="20"/>
        </w:rPr>
      </w:pPr>
      <w:r>
        <w:rPr>
          <w:rFonts w:ascii="Times New Roman;sans-serif" w:hAnsi="Times New Roman;sans-serif"/>
          <w:b/>
          <w:color w:val="000000"/>
          <w:sz w:val="20"/>
        </w:rPr>
        <w:t>IV. Supernus Pharmaceuticals, Inc. v. RiconPharma LLC, et al., C.A. No. 22-cv-6340 (KM)(MAH) (D.N.J.)</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received a Paragraph IV Notice Letter from generic drug maker RiconPharma, LLC (“Ricon”) dated October 7, 2022 directed to one of its Oxtellar XR® Orange Book patents. Supernus’s U.S. Patent No. 11,166,960 generally covers once-a-day oxcarbazepine formulations and methods of treating seizures using those formulations. The FDA Orange Book lists U.S. Patent No. 11,166,960 as expiring on April 13, 2027. On October 28, 2022, the Company filed a lawsuit against Ricon alleging infringement of U.S. Patent No. 11,166,960. The Complaint—filed in the U.S. District Court for the District of New Jersey—alleges, inter alia, that Ricon infringed U.S. Patent No. 11,166,960 by submitting to the FDA an Abbreviated New Drug Application (“ANDA”) seeking to market a generic version of Oxtellar XR® prior to the expiration of U.S. Patent No. 11,166,960. On November 22, 2022, the Court issued an Order consolidating for all purposes this lawsuit with another pending lawsuit against Ricon, C.A. No. 21-cv-12133 (D.N.J.), discussed in Section III above. The Court further ordered that this action, C.A. No. 22-cv-6340 (D.N.J.), be administratively terminated.</w:t>
      </w:r>
    </w:p>
    <w:p>
      <w:pPr>
        <w:pStyle w:val="TextBody"/>
        <w:spacing w:lineRule="auto" w:line="288" w:before="200" w:after="200"/>
        <w:ind w:left="0" w:right="0" w:hanging="360"/>
        <w:rPr>
          <w:rFonts w:ascii="Times New Roman;sans-serif" w:hAnsi="Times New Roman;sans-serif"/>
          <w:b/>
          <w:color w:val="000000"/>
          <w:sz w:val="20"/>
        </w:rPr>
      </w:pPr>
      <w:r>
        <w:rPr>
          <w:rFonts w:ascii="Times New Roman;sans-serif" w:hAnsi="Times New Roman;sans-serif"/>
          <w:b/>
          <w:color w:val="000000"/>
          <w:sz w:val="20"/>
        </w:rPr>
        <w:t>V. Supernus Pharmaceuticals, Inc. v. Ajanta Pharma Limited, C.A. No. 22-cv-1431 (D. Del.)</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received a Paragraph IV Notice Letter from generic drug maker Ajanta Pharma Limited (“Ajanta”) dated September 19, 2022, advising the Company of the filing by Ajanta of an Abbreviated New Drug Application with the U.S. Food and Drug Administration (“FDA”) seeking approval for Oxcarbazepine Extended-Release Tablets, 150 mg, 300 mg, and 600 mg. The Notice Letter is directed to the Oxtellar XR® Orange Book patents, namely United States Patent Nos. 7,722,898, 7,910,131, 8,617,600, 8,821,930, 9,119,791, 9,351,975, 9,370,525, 9,855,278, 10,220,042, and 11,166,960. These patents generally cover once-a-day oxcarbazepine formulations and methods of treating seizures using those formulations. The FDA Orange Book currently lists all ten of the Oxtellar XR® Orange Book patents as expiring on April 13, 2027. On October 28, 2022, the Company filed a lawsuit against Ajanta alleging infringement of the Company’s ten Oxtellar XR® patents. The Complaint—filed in the U.S. District Court for the District of Delaware—alleges, inter alia, that Ajanta infringed the Company’s Oxtellar XR® patents by submitting to the FDA an Abbreviated New Drug Application (“ANDA”) seeking to market a generic version of Oxtellar XR® prior to the expiration of the Company’s patents. Filing its October 28, 2022 Complaint within 45 days of receiving Ajanta’s Paragraph IV certification notice entitles Supernus to an automatic stay preventing the FDA from approving Ajanta’s ANDA for 30 months from the date of the Company’s receipt of the Paragraph IV Notice Letter. On January 3, 2023, Ajanta answered the Complaint and denied the substantive allegations of the Complaint, asserting affirmative defenses that include non-infringement and invalidity. Ajanta also asserted Counterclaims seeking declaratory judgments of non-infringement and invalidity. On January 24, 2023, the Company filed its Reply, denying the substantive allegations of Ajanta’s Counterclaims. As of the date of this submission, the Court has not issued a case schedule.</w:t>
      </w:r>
    </w:p>
    <w:p>
      <w:pPr>
        <w:pStyle w:val="TextBody"/>
        <w:spacing w:lineRule="auto" w:line="288" w:before="200" w:after="200"/>
        <w:rPr>
          <w:rFonts w:ascii="Times New Roman;sans-serif" w:hAnsi="Times New Roman;sans-serif"/>
          <w:b/>
          <w:i/>
          <w:color w:val="000000"/>
          <w:sz w:val="20"/>
        </w:rPr>
      </w:pPr>
      <w:r>
        <w:rPr>
          <w:rFonts w:ascii="Times New Roman;sans-serif" w:hAnsi="Times New Roman;sans-serif"/>
          <w:b/>
          <w:i/>
          <w:color w:val="000000"/>
          <w:sz w:val="20"/>
        </w:rPr>
        <w:t>Trokendi XR®</w:t>
      </w:r>
    </w:p>
    <w:p>
      <w:pPr>
        <w:pStyle w:val="TextBody"/>
        <w:spacing w:lineRule="auto" w:line="288" w:before="200" w:after="200"/>
        <w:ind w:left="0" w:right="0" w:hanging="360"/>
        <w:rPr>
          <w:rFonts w:ascii="Times New Roman;sans-serif" w:hAnsi="Times New Roman;sans-serif"/>
          <w:b/>
          <w:color w:val="000000"/>
          <w:sz w:val="20"/>
        </w:rPr>
      </w:pPr>
      <w:r>
        <w:rPr>
          <w:rFonts w:ascii="Times New Roman;sans-serif" w:hAnsi="Times New Roman;sans-serif"/>
          <w:b/>
          <w:color w:val="000000"/>
          <w:sz w:val="20"/>
        </w:rPr>
        <w:t>VI. Supernus Pharmaceuticals, Inc. v. Ajanta Pharma Limited, et al., C.A. No. 21-cv-6964 (GC)(LHG) (D.N.J.)</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received a Paragraph IV Notice Letter from generic drug maker Ajanta Pharma Limited dated February 10,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March 26, 2021, the Company filed a lawsuit against Ajanta Pharma Limited and Ajanta Pharma USA Inc. (collectively “Ajanta”) alleging infringement of the Company’s Trokendi XR® Orange Book patents. The Complaint—filed in the U.S. District Court for the District of New Jersey—alleges, inter alia, that Ajanta infringed the Company’s Trokendi XR® patents by submitting to the FDA an Abbreviated New Drug Application (“ANDA”) seeking to market a generic version of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Trokendi XR® prior to the expiration of the Company’s patents. Filing its March 26, 2021 Complaint within 45 days of receiving Ajanta’s Paragraph IV certification notice entitles Supernus to an automatic stay preventing the FDA from approving Ajanta’s ANDA for 30 months from the date of the Company’s receipt of the Paragraph IV Notice Letter. On June 7, 2021, Ajanta answered the Complaint and denied the substantive allegations of the Complaint, asserting affirmative defenses that include non-infringement and invalidity. Ajanta also asserted Counterclaims seeking declaratory judgments of non</w:t>
        <w:noBreakHyphen/>
        <w:t>infringement and invalidity for the Trokendi XR® Orange Book patents. On June 28, 2021, the Company filed its reply, denying the substantive allegations of Ajanta’s Counterclaims. Following the initial Rule 16 Scheduling Conference, the Court issued a case schedule. On December 17, 2021, the Court issued an order consolidating this lawsuit with the lawsuit against Torrent, discussed in Section VII below. The consolidation order extended the 30</w:t>
        <w:noBreakHyphen/>
        <w:t>month stay preventing the FDA from approving Ajanta’s ANDA to December 16, 2023. The Company entered into a settlement agreement with Ajanta, and on April 04, 2023, a stipulation of dismissal without prejudice was entered by the U.S. District Court for the District of New Jersey. The agreement has been submitted to the applicable governmental agencies.</w:t>
      </w:r>
    </w:p>
    <w:p>
      <w:pPr>
        <w:pStyle w:val="TextBody"/>
        <w:spacing w:lineRule="auto" w:line="288" w:before="200" w:after="200"/>
        <w:ind w:left="0" w:right="0" w:hanging="360"/>
        <w:rPr>
          <w:rFonts w:ascii="Times New Roman;sans-serif" w:hAnsi="Times New Roman;sans-serif"/>
          <w:b/>
          <w:color w:val="000000"/>
          <w:sz w:val="20"/>
        </w:rPr>
      </w:pPr>
      <w:r>
        <w:rPr>
          <w:rFonts w:ascii="Times New Roman;sans-serif" w:hAnsi="Times New Roman;sans-serif"/>
          <w:b/>
          <w:color w:val="000000"/>
          <w:sz w:val="20"/>
        </w:rPr>
        <w:t>VII. Supernus Pharmaceuticals, Inc. v. Torrent Pharmaceuticals Ltd., et al., C.A. No. 21-cv-14268 (GC)(LHG) (D.N.J.)</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received a Paragraph IV Notice Letter from generic drug maker Torrent Pharmaceuticals Ltd. dated June 15,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28, 2021, the Company filed a lawsuit against Torrent Pharmaceuticals Ltd. and Torrent Pharma Inc. (collectively, “Torrent”) alleging infringement of the Company’s Trokendi XR® Orange Book patents. The Complaint—filed in the U.S. District Court for the District of New Jersey—alleges, inter alia, that Torrent infringed the Company’s Trokendi XR® patents by submitting to the FDA an Abbreviated New Drug Application (“ANDA”) seeking to market a generic version of Trokendi XR® prior to the expiration of the Company’s patents. Filing its July 28, 2021 Complaint within 45 days of receiving Torrent’s Paragraph IV certification notice entitles Supernus to an automatic stay preventing the FDA from approving Torrent’s ANDA for 30 months from the date of the Company’s receipt of the Paragraph IV Notice Letter. On September 29, 2021, Torrent answered the Complaint and denied the substantive allegations of the Complaint, asserting affirmative defenses that include non-infringement and invalidity. Torrent also asserted Counterclaims seeking declaratory judgments of non</w:t>
        <w:noBreakHyphen/>
        <w:t>infringement for the Trokendi XR® Orange Book patents. On November 3, 2021, the Company filed its reply, denying the substantive allegations of Torrent’s Counterclaims. Following the initial Rule 16 Scheduling Conference, the Court issued a case schedule. On December 17, 2021, the Court issued an order consolidating this lawsuit with the lawsuit against Ajanta, discussed in Section VI, above. On January 24, 2023, the Court amended the scheduling order. Under the amended scheduling order, the Final Pretrial Conference is set for June 26, 2023 and the trial is set to begin on July 24, 2023. Pretrial discovery is ongoing as of the date of this submission.</w:t>
      </w:r>
    </w:p>
    <w:p>
      <w:pPr>
        <w:pStyle w:val="TextBody"/>
        <w:spacing w:lineRule="auto" w:line="288" w:before="200" w:after="200"/>
        <w:ind w:left="0" w:right="0" w:hanging="360"/>
        <w:rPr>
          <w:rFonts w:ascii="Times New Roman;sans-serif" w:hAnsi="Times New Roman;sans-serif"/>
          <w:b/>
          <w:color w:val="000000"/>
          <w:sz w:val="20"/>
        </w:rPr>
      </w:pPr>
      <w:r>
        <w:rPr>
          <w:rFonts w:ascii="Times New Roman;sans-serif" w:hAnsi="Times New Roman;sans-serif"/>
          <w:b/>
          <w:color w:val="000000"/>
          <w:sz w:val="20"/>
        </w:rPr>
        <w:t>VIII. Supernus Pharmaceuticals, Inc. v. Lupin Limited, et al., C.A. No. 21-cv-1293 (MN) (D. Del.)</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received a Paragraph IV Notice Letter from generic drug maker Lupin Limited dated July 29,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September 10, 2021, the Company filed a lawsuit against Lupin Limited, Lupin Atlantis Holdings S.A., Nanomi B.V., Lupin Inc., and Lupin Pharmaceuticals, Inc. (collectively, “Lupin”) alleging infringement of the Company’s Trokendi XR® Orange Book patents. The Complaint—filed in the U.S. District Court for the District of Delaware—alleges, inter alia, that Lupin infringed the Company’s Trokendi XR® patents by submitting to the FDA an Abbreviated New Drug Application (“ANDA”) seeking to market a generic version of Trokendi XR® prior to the expiration of the Company’s patents. Filing its September 10, 2021 Complaint within 45 days of receiving Lupin’s Paragraph IV certification notice entitles Supernus to an automatic stay preventing the FDA from approving Lupin’s ANDA for 30 months from the date of the Company’s receipt of the Paragraph IV Notice Letter. On December 20, 2021, Lupin answered the Complaint and denied the substantive allegations of the Complaint, asserting affirmative defenses that include non-infringement and invalidity. Lupin also asserted Counterclaims seeking declaratory judgments of non</w:t>
        <w:noBreakHyphen/>
        <w:t xml:space="preserve">infringement and invalidity for the Trokendi XR® Orange Book patents. On January 10, 2022, the Company filed its reply, denying the substantive allegations of Lupin’s Counterclaims. On February 13, 2023, the Court issued a revised scheduling order that provides for the Final Pretrial Conference on January 11, 2024, and a 5-day bench trial beginning on January 22, 2024. Pretrial discovery is ongoing as of the date of this submission.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00"/>
        <w:ind w:left="0" w:right="0" w:hanging="360"/>
        <w:rPr>
          <w:rFonts w:ascii="Times New Roman;sans-serif" w:hAnsi="Times New Roman;sans-serif"/>
          <w:b/>
          <w:color w:val="000000"/>
          <w:sz w:val="20"/>
        </w:rPr>
      </w:pPr>
      <w:r>
        <w:rPr>
          <w:rFonts w:ascii="Times New Roman;sans-serif" w:hAnsi="Times New Roman;sans-serif"/>
          <w:b/>
          <w:color w:val="000000"/>
          <w:sz w:val="20"/>
        </w:rPr>
        <w:t>IX. Supernus Pharmaceuticals, Inc. v. Zydus Pharmaceuticals (USA) Inc., et al., C.A. No. 21-cv-17104 (GC)(LHG) (D.N.J.)</w:t>
      </w:r>
    </w:p>
    <w:p>
      <w:pPr>
        <w:pStyle w:val="TextBody"/>
        <w:spacing w:lineRule="auto" w:line="288" w:before="200" w:after="200"/>
        <w:ind w:left="0" w:right="0" w:firstLine="720"/>
        <w:rPr/>
      </w:pPr>
      <w:r>
        <w:rPr>
          <w:rFonts w:ascii="Times New Roman;sans-serif" w:hAnsi="Times New Roman;sans-serif"/>
          <w:b w:val="false"/>
          <w:color w:val="000000"/>
          <w:sz w:val="20"/>
        </w:rPr>
        <w:t>The Company received a Paragraph IV Notice Letter from generic drug maker Zydus Pharmaceuticals (USA) Inc. dated August 5, 2021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September 17, 2021, the Company filed a lawsuit against Zydus Pharmaceuticals (USA) Inc. and Cadila Healthcare Limited (collectively, “Zydus”) alleging infringement of the Company’s Trokendi XR® Orange Book patents. The Complaint—filed in the U.S. District Court for the District of New Jersey—alleges, inter alia, that Zydus infringed the Company’s Trokendi XR® patents by submitting to the FDA an Abbreviated New Drug Application (“ANDA”) seeking to market a generic version of Trokendi XR® prior to the expiration of the Company’s patents. Filing its September 17, 2021 Complaint within 45 days of receiving Zydus’s Paragraph IV certification notice entitles Supernus to an automatic stay preventing the FDA from approving Zydus’s ANDA for 30 months from the date of the Company’s receipt of the Paragraph IV Notice Letter. The August 5, 2021 Paragraph IV Notice Letter from Zydus Pharmaceuticals (USA) Inc. concerns Zydus’s proposed generic equivalent of the 200 mg strength of Trokendi XR®.</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August 5, 2021 Paragraph IV Notice Letter referenced herein does not concern the same ANDA as the one that was at issue in the previous lawsuit. On December 28, 2021, Zydus answered the Complaint and denied the substantive allegations of the Complaint, asserting affirmative defenses that include non-infringement and invalidity. On April 29, 2022, the Court issued a scheduling order. The Company entered into a settlement agreement with Zydus, and on January 6, 2023, a stipulation of dismissal without prejudice was entered by the U.S. District Court for the District of New Jersey. The agreement has been submitted to the applicable governmental agencies.</w:t>
      </w:r>
    </w:p>
    <w:p>
      <w:pPr>
        <w:pStyle w:val="TextBody"/>
        <w:spacing w:lineRule="auto" w:line="288" w:before="200" w:after="200"/>
        <w:ind w:left="0" w:right="0" w:hanging="360"/>
        <w:rPr>
          <w:rFonts w:ascii="Times New Roman;sans-serif" w:hAnsi="Times New Roman;sans-serif"/>
          <w:b/>
          <w:color w:val="000000"/>
          <w:sz w:val="20"/>
        </w:rPr>
      </w:pPr>
      <w:r>
        <w:rPr>
          <w:rFonts w:ascii="Times New Roman;sans-serif" w:hAnsi="Times New Roman;sans-serif"/>
          <w:b/>
          <w:color w:val="000000"/>
          <w:sz w:val="20"/>
        </w:rPr>
        <w:t>X. Supernus Pharmaceuticals, Inc. v. Alkem Laboratories Ltd., C.A. No. 22-cv-3511 (EEB)(SRH) (N.D. Ill.)</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The Company received a Paragraph IV Notice Letter from generic drug maker Alkem Laboratories Ltd. dated May 25, 2022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6, 2022, the Company filed a lawsuit against Alkem Laboratories Ltd. (“Alkem”) alleging infringement of the Company’s Trokendi XR® Orange Book patents. The Complaint—filed in the U.S. District Court for the Northern District of Illinois—alleges, inter alia, that Alkem infringed the Company’s Trokendi XR® patents by submitting to the FDA an Abbreviated New Drug Application (“ANDA”) seeking to market a generic version of Trokendi XR® prior to the expiration of the Company’s patents. Filing its July 6, 2022 Complaint within 45 days of receiving Alkem’s Paragraph IV certification notice entitles Supernus to an automatic stay preventing the FDA from approving Alkem’s ANDA for 30 months from the date of the Company’s receipt of the Paragraph IV Notice Letter. On October 03, 2022, Alkem answered the Complaint and denied the substantive allegations of the Complaint, asserting affirmative defenses that include non-infringement and invalidity. The Company entered into a settlement agreement with Alkem, and on March 20, 2023, a stipulation of dismissal without prejudice was entered by the U.S. District Court for the Northern District of Illinois. The agreement has been submitted to the applicable governmental agencies.</w:t>
      </w:r>
    </w:p>
    <w:p>
      <w:pPr>
        <w:pStyle w:val="TextBody"/>
        <w:spacing w:lineRule="auto" w:line="288" w:before="200" w:after="200"/>
        <w:ind w:left="0" w:right="0" w:hanging="360"/>
        <w:rPr>
          <w:rFonts w:ascii="Times New Roman;sans-serif" w:hAnsi="Times New Roman;sans-serif"/>
          <w:b/>
          <w:color w:val="000000"/>
          <w:sz w:val="20"/>
        </w:rPr>
      </w:pPr>
      <w:r>
        <w:rPr>
          <w:rFonts w:ascii="Times New Roman;sans-serif" w:hAnsi="Times New Roman;sans-serif"/>
          <w:b/>
          <w:color w:val="000000"/>
          <w:sz w:val="20"/>
        </w:rPr>
        <w:t>XI. Supernus Pharmaceuticals, Inc. v. Dr. Reddy's Laboratories, Ltd., et al., C.A. No. 22-cv-4705 (GC)(LHG) (D.N.J.)</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received a Paragraph IV Notice Letter from generic drug makers Dr, Reddy’s Laboratories Ltd. and Dr. Reddy’s Laboratories, Inc. dated June 9, 2022 directed to ten of its Trokendi XR® Orange Book patents. Supernus’s U.S. Patent Nos. 8,298,576; 8,298,580; 8,663,683; 8,877,248; 8,889,191; 8,992,989; 9,549,940; 9,555,004; 9,622,983; and 10,314,790 generally cover once-a-day topiramate formulations and methods of treating or preventing seizures and migraines using those formulations. The FDA Orange Book currently lists United States Patent No. 8,298,576 as expiring on April 4, 2028 and United States Patent Nos. 8,298,580; 8,663,683; 8,877,248; 8,889,191; 8,992,989; 9,549,940; 9,555,004; 9,622,983; and 10,314,790 as expiring on November 16, 2027. On July 22, 2022, the Company filed a lawsuit against Dr. Reddy’s Laboratories Ltd. and Dr. Reddy’s Laboratories, Inc. (“DRL”) alleging infringement of the Company’s Trokendi XR® Orange Book patents. The Complaint—filed in the U.S. District Court for the District of New Jersey—alleges, inter alia, that DRL infringed the Company’s </w:t>
      </w:r>
    </w:p>
    <w:p>
      <w:pPr>
        <w:pStyle w:val="TextBody"/>
        <w:spacing w:lineRule="auto" w:line="268" w:before="0" w:after="0"/>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Previously, the Company was in a lawsuit against Zydus Pharmaceuticals (USA) Inc. and Cadila Healthcare Limited concerning an Abbreviated New Drug Application (“ANDA”) for Zydus’s proposed generic equivalents of the 25 mg, 50 mg, and 100 mg strengths of Trokendi XR®. A settlement agreement was entered into between the Company and Zydus Pharmaceuticals (USA) Inc. and Cadila Healthcare Limited concerning the previous lawsuit. </w:t>
      </w:r>
      <w:r>
        <w:rPr>
          <w:rFonts w:ascii="Times New Roman;sans-serif" w:hAnsi="Times New Roman;sans-serif"/>
          <w:b w:val="false"/>
          <w:i/>
          <w:color w:val="000000"/>
          <w:sz w:val="20"/>
        </w:rPr>
        <w:t>See</w:t>
      </w:r>
      <w:r>
        <w:rPr>
          <w:color w:val="000000"/>
        </w:rPr>
        <w:t xml:space="preserve"> </w:t>
      </w:r>
      <w:r>
        <w:rPr>
          <w:rFonts w:ascii="Times New Roman;sans-serif" w:hAnsi="Times New Roman;sans-serif"/>
          <w:b w:val="false"/>
          <w:color w:val="000000"/>
          <w:sz w:val="20"/>
        </w:rPr>
        <w:t>https://www.sec.gov/Archives/edgar/data/1356576/000110465917031191/a17-10293_1ex10d1.htm.</w:t>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Trokendi XR® patents by submitting to the FDA an Abbreviated New Drug Application (“ANDA”) seeking to market a generic version of Trokendi XR® prior to the expiration of the Company’s patents. Filing its July 22, 2022 Complaint within 45 days of receiving DRL’s Paragraph IV certification notice entitles Supernus to an automatic stay preventing the FDA from approving DRL’s ANDA for 30 months from the date of the Company’s receipt of the Paragraph IV Notice Letter. On October 7, 2022, DRL answered the Complaint and denied the substantive allegations of the Complaint, asserting affirmative defenses that include non-infringement and invalidity. On February 21, 2023, the Court issued a Scheduling Order that sets the Final Pretrial Conference on June 24, 2024 and the trial to begin on July 22, 2024. Pretrial discovery is ongoing as of the date of this submission.</w:t>
      </w:r>
    </w:p>
    <w:p>
      <w:pPr>
        <w:pStyle w:val="TextBody"/>
        <w:spacing w:lineRule="auto" w:line="288" w:before="200" w:after="200"/>
        <w:rPr>
          <w:rFonts w:ascii="Times New Roman;sans-serif" w:hAnsi="Times New Roman;sans-serif"/>
          <w:b/>
          <w:i/>
          <w:color w:val="000000"/>
          <w:sz w:val="20"/>
        </w:rPr>
      </w:pPr>
      <w:r>
        <w:rPr>
          <w:rFonts w:ascii="Times New Roman;sans-serif" w:hAnsi="Times New Roman;sans-serif"/>
          <w:b/>
          <w:i/>
          <w:color w:val="000000"/>
          <w:sz w:val="20"/>
        </w:rPr>
        <w:t>APOKYN®</w:t>
      </w:r>
    </w:p>
    <w:p>
      <w:pPr>
        <w:pStyle w:val="TextBody"/>
        <w:spacing w:lineRule="auto" w:line="288" w:before="200" w:after="200"/>
        <w:ind w:left="0" w:right="0" w:hanging="360"/>
        <w:rPr>
          <w:rFonts w:ascii="Times New Roman;sans-serif" w:hAnsi="Times New Roman;sans-serif"/>
          <w:b/>
          <w:color w:val="000000"/>
          <w:sz w:val="20"/>
        </w:rPr>
      </w:pPr>
      <w:r>
        <w:rPr>
          <w:rFonts w:ascii="Times New Roman;sans-serif" w:hAnsi="Times New Roman;sans-serif"/>
          <w:b/>
          <w:color w:val="000000"/>
          <w:sz w:val="20"/>
        </w:rPr>
        <w:t>XII. Sage Chemical, Inc., et al. v. Supernus Pharmaceuticals, Inc., et al., C.A. No. 22-cv-1302 (CFC) (D. Del.)</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October 3, 2022, Sage Chemical, Inc. and TruPharma, LLC filed a lawsuit in the United States District Court for the District of Delaware alleging that Supernus Pharmaceuticals, Inc., Britannia Pharmaceuticals Limited (Britannia), and US WorldMeds Partners, LLC (US WorldMeds) violated state and federal antitrust law in connection with APOKYN® (apomorphine HCl). On October 16, 2022, Plaintiffs amended their complaint to add additional defendants MDD US Enterprises, LLC, MDD US Operations, LLC (each a subsidiary of Supernus Pharmaceuticals, Inc.), USWM, LLC (“USWM”), Paul Breckinridge Jones, Sr., Herbert Lee Warren, Jr., Henry Van Den Berg, and Kristin L. Gullo. On January 10, 2023, Defendants filed an Omnibus Motion to Dismiss the Amended Complaint seeking dismissal of each of Plaintiffs’ claims and the lawsuit in its entirety and US WorldMeds with USWM, Britannia, and the group of individual defendants each filed separate motions to dismiss. As of April 12, 2023, briefing on those motions is now complete. Those motions remain pending. On January 25, 2023, Defendants filed a motion to stay discovery and stay the deadline to submit a proposed scheduling order pending resolutions of Defendants’ motions to dismiss. On March 07, 2023, the Court denied Defendants’ motion to stay and ordered that the parties commence discovery. On April 10, 2023, the Court issued a scheduling order that provides for a Pretrial Conference on March 07, 2025 and a jury trial beginning on March 24, 2025. Pretrial discovery is ongoing as of the date of this submission.</w:t>
      </w:r>
    </w:p>
    <w:p>
      <w:pPr>
        <w:pStyle w:val="TextBody"/>
        <w:spacing w:lineRule="auto" w:line="288" w:before="200" w:after="200"/>
        <w:rPr>
          <w:rFonts w:ascii="Times New Roman;sans-serif" w:hAnsi="Times New Roman;sans-serif"/>
          <w:b/>
          <w:i/>
          <w:color w:val="000000"/>
          <w:sz w:val="20"/>
        </w:rPr>
      </w:pPr>
      <w:r>
        <w:rPr>
          <w:rFonts w:ascii="Times New Roman;sans-serif" w:hAnsi="Times New Roman;sans-serif"/>
          <w:b/>
          <w:i/>
          <w:color w:val="000000"/>
          <w:sz w:val="20"/>
        </w:rPr>
        <w:t>XADAGO®</w:t>
      </w:r>
    </w:p>
    <w:p>
      <w:pPr>
        <w:pStyle w:val="TextBody"/>
        <w:spacing w:lineRule="auto" w:line="288" w:before="200" w:after="200"/>
        <w:ind w:left="0" w:right="0" w:firstLine="720"/>
        <w:rPr/>
      </w:pPr>
      <w:r>
        <w:rPr>
          <w:rFonts w:ascii="Times New Roman;sans-serif" w:hAnsi="Times New Roman;sans-serif"/>
          <w:b w:val="false"/>
          <w:color w:val="201F1E"/>
          <w:sz w:val="20"/>
          <w:highlight w:val="white"/>
        </w:rPr>
        <w:t>On June 10, 2021, Newron Pharmaceuticals S.p.A. ("Newron"), Zambon S.p.A. ("Zambon") and Supernus Pharmaceuticals, Inc. (the "Company"), through its subsidiary MDD US Operations, LLC (collectively, "Plaintiffs"), initiated litigation against generic drug makers Aurobindo Pharma Limited, Aurobindo Pharma USA Inc., MSN Laboratories Private Limited ("MSN"), Optimus Pharma Pvt Ltd, Prinston Pharmaceutical, Inc., RK Pharma, Inc. and Zenara Pharma Private Limited (collectively, "Defendants") for infringement of three FDA Orange Book patents covering XADAGO®, the Company's once-daily product indicated as adjunctive treatment to levodopa/carbidopa in patients with Parkinson's Disease experiencing "off" episodes. U.S. Patent Nos. 8,076,515, 8,278,485 and 8,283,380 (collectively, the "XADAGO Patents") cover the pharmaceutical formulation of and methods of treatment with safinamide. The XADAGO Patents expire between June 2027 and March 2031. The Company has a license agreement with Zambon, Newron's partner, related to the XADAGO Patents, and as a new chemical entity, XADAGO was under the 5-year FDA exclusivity period that expired on March 21, 2022.</w:t>
      </w:r>
      <w:r>
        <w:rPr>
          <w:color w:val="201F1E"/>
        </w:rPr>
        <w:t xml:space="preserve"> </w:t>
      </w:r>
      <w:r>
        <w:rPr>
          <w:rFonts w:ascii="Times New Roman;sans-serif" w:hAnsi="Times New Roman;sans-serif"/>
          <w:b w:val="false"/>
          <w:color w:val="201F1E"/>
          <w:sz w:val="20"/>
          <w:highlight w:val="white"/>
        </w:rPr>
        <w:t>The Complaint - filed in the U.S. District Court for the District of Delaware - alleges that the Defendants infringed the XADAGO Patents by submitting to the U.S. Food and Drug Administration (FDA) Abbreviated New Drug Applications (ANDAs) seeking to market generic versions of XADAGO prior to the expiration of the patents. Filing the Complaint within 45 days of receiving each of the Defendants' Paragraph IV notice letters entitles the Plaintiffs to an automatic stay preventing the FDA from approving the Defendants' ANDAs for 30 months from the date of the Plaintiffs' receipt of the Paragraph IV Notice Letters. The parties agreed on a case schedule. A trial has been set for January 8, 2024. On March 22, 2022, defendant Optimus Pharma Pvt Ltd was dismissed from the case without prejudice. On January 5, 2023, Defendants Aurobindo Pharma Limited and Aurobindo Pharma USA Inc. were dismissed from the case without prejudice pursuant to a settlement agreement. On April 14, 2023, the Court issued a claim construction opinion and order construing terms of the asserted patent claims. Fact discovery is closed and expert discovery is ongoing.</w:t>
      </w: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00"/>
        <w:rPr>
          <w:rFonts w:ascii="Times New Roman;sans-serif" w:hAnsi="Times New Roman;sans-serif"/>
          <w:b/>
          <w:i/>
          <w:color w:val="000000"/>
          <w:sz w:val="20"/>
        </w:rPr>
      </w:pPr>
      <w:r>
        <w:rPr>
          <w:rFonts w:ascii="Times New Roman;sans-serif" w:hAnsi="Times New Roman;sans-serif"/>
          <w:b/>
          <w:i/>
          <w:color w:val="000000"/>
          <w:sz w:val="20"/>
        </w:rPr>
        <w:t>Adamas Litigation</w:t>
      </w:r>
    </w:p>
    <w:p>
      <w:pPr>
        <w:pStyle w:val="TextBody"/>
        <w:spacing w:lineRule="auto" w:line="288" w:before="200" w:after="200"/>
        <w:ind w:left="0" w:right="0" w:firstLine="820"/>
        <w:rPr>
          <w:rFonts w:ascii="Times New Roman;sans-serif" w:hAnsi="Times New Roman;sans-serif"/>
          <w:b w:val="false"/>
          <w:color w:val="000000"/>
          <w:sz w:val="20"/>
        </w:rPr>
      </w:pPr>
      <w:r>
        <w:rPr>
          <w:rFonts w:ascii="Times New Roman;sans-serif" w:hAnsi="Times New Roman;sans-serif"/>
          <w:b w:val="false"/>
          <w:color w:val="000000"/>
          <w:sz w:val="20"/>
        </w:rPr>
        <w:t>In November 2012, Adamas Pharmaceuticals, Inc. (Adamas) granted Forest Laboratories Holdings Limited, an indirect wholly-owned subsidiary of Allergan plc (Forest), an exclusive license to certain of Adamas's intellectual property rights relating to human therapeutics containing memantine in the United States. Under the terms of that license agreement, Forest has the right to enforce such intellectual property rights which are related to its right to market and sell Namzaric and NAMENDA XR for the treatment of moderate to severe dementia related to Alzheimer's disease. Adamas has a right to participate in, but not control, such enforcement actions by Forest.</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Since 2018 multiple generic companies have launched generic versions of NAMENDA XR. A number of companies have submitted ANDAs including one or more certifications to the FDA, pursuant to 21 U.S.C. § 355(j)(2)(A)(vii)(iv), requesting approval to manufacture and market generic versions of Namzaric, on which Adamas became entitled to receive royalties from Forest beginning in May 2020.</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Adamas and Forest have settled with all such Namzaric ANDA filers, including all first filers on all the available dosage forms of Namzaric. Subject to those agreements, the earliest date on which any of these agreements grant a license to market a Namzaric ANDA filer's generic version of Namzaric is January 1, 2025 (or earlier in certain circumstances). Alternatively, the Namzaric ANDA filers with the earliest date have the option to launch an authorized generic version of Namzaric beginning on January 1, 2026 instead of launching their own generic version of Namzaric on January 1, 2025. Adamas and Forest intend to continue to enforce the patents associated with Namzaric.</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April 1, 2019, Adamas was served with a complaint filed in the United States District Court for the Northern District of California (Case No. 3:18-cv-03018-JCS) against it and several Forest and Allergan entities alleging violations of federal and state false claims acts (FCA) in connection with the commercialization of NAMENDA XR and Namzaric by Allergan. The lawsuit is a qui tam complaint brought by a named individual, Zachary Silbersher, asserting rights of the Federal government and various state governments. The lawsuit was originally filed in May 2018 under seal, and Adamas became aware of the lawsuit when it was served. The complaint alleges that patents held by Allergan and Adamas covering NAMENDA XR and Namzaric were procured through fraud on the United States Patent and Trademark Office and that these patents were asserted against potential generic manufacturers of NAMENDA XR and Namzaric to prevent the generic manufacturers from entering the market, thereby wrongfully excluding generic competition resulting in artificially high prices being charged to government payors.</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Adamas's patents in question were licensed exclusively to Forest. The complaint includes a claim for damages of “potentially more than $2.5 billion dollars,” treble damages and statutory penalties. To date the federal and state governments have declined to intervene in this action. This case is currently stayed pending Adamas's and Allergan's interlocutory appeal of the District Court's December 11, 2020 order denying Adamas's and Allergan's motions to dismiss the complaint. The appeal is pending in the United States Court of Appeals for the Ninth Circuit (Case No. 21-80005). Argument was held on January 10, 2022. On August 25, 2022, the Ninth Circuit sided with the defendants by reversing the District Court’s public disclosure bar rulings and remanding the case back to the District Court to decide certain issues in the first instance. On October 11, 2022, the plaintiff filed a petition for rehearing with the Ninth Circuit, which was denied. On December 23, 2022, defendants filed renewed motions to dismiss directed to the remaining unresolved issue. On March 20, 2023, the district court entered an order and final judgment dismissing with prejudice the FCA claim while declining to exercise supplemental jurisdiction over the state false claims act claims which were dismissed without prejudice. On April 19, 2023, the plaintiff appealed the District Court's dismissal of the Federal False Claims Act claim.</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On December 10, 2019, a putative class action lawsuit alleging violations of the federal securities laws was filed by Ali Zaidi against Adamas and certain of Adamas's former directors and officers in federal court in the Northern District of California (Case No. 4:19-cv-08051). This lawsuit alleges violations of the Securities Exchange Act of 1934 by Adamas and certain of Adamas's former directors and officers. On October 8, 2021, the presiding judge dismissed the litigation, and granted Plaintiffs leave to amend their complaint. On November 5, 2021, Plaintiffs filed their second amended class action complaint. On December 10, 2021, Adamas filed a motion to dismiss the Second Amended Complaint. Plaintiffs opposed the motion to dismiss. On January 13, 2023, the Court granted in part and denied in part Defendants’ Motion to Dismiss. Plaintiff has until February 27, 2023 to file a third amended complaint or notice that Lead Plaintiff does not intend to amend, after which Defendants have sixty (60) days to file a motion to dismiss or otherwise respond to the operative complaint. The Plaintiff did not file an amendment and all claims against Adamas have been dismissed with prejudice, but claims against one of the individual defendants, who may have certain rights to indemnification, remain.</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16, 2020, a shareholder derivative lawsuit was filed by Patrick Van Camp in federal court in the Northern District of California (Case No. 4:20-cv-01815) naming Adamas and certain of Adamas's former directors and officers as defendants. This lawsuit alleges certain of Adamas's former directors and officers breached fiduciary duties and violated the </w:t>
      </w: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Securities Exchange Act of 1934. Adamas is named as a nominal defendant only. On April 6, 2020, another, virtually identical, shareholder derivative lawsuit was filed by James Druzbik in federal court in the Northern District of California (Case No. 4:20- cv-02320) naming Adamas and certain of Adamas's former directors and officers as defendants. This lawsuit contains the same allegations, claims, and defendants as the first derivative action. Adamas is named as a nominal defendant only. In both actions, Plaintiffs seek unspecified monetary damages and other relief. These actions have been consolidated and are stayed pending resolution of the Zaidi class action.</w:t>
      </w:r>
    </w:p>
    <w:p>
      <w:pPr>
        <w:pStyle w:val="TextBody"/>
        <w:spacing w:lineRule="auto" w:line="288" w:before="200" w:after="20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Adamas believes it has strong factual and legal defenses to all actions and intends to defend itself vigorously.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Any investment in our business involves a high degree of risk. Before making an investment decision, you should carefully consider the information we include in this Quarterly Report on Form 10-Q, including our condensed consolidated financial statements and related notes; the additional information in the other reports we file with the Securities and Exchange Commission; and the risks described in our Annual Report on Form 10-K for the year ended December 31, 2022 and quarterly report on Form 10-Q for the period ended March 31, 2023. These risks may result in material harm to our business and our financial condition and results of operations. If a material, adverse event was to occur, the market price of our common stock may decline, and you could lose part or all of your investment.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200" w:after="283"/>
        <w:ind w:left="0" w:right="0" w:hanging="720"/>
        <w:rPr/>
      </w:pPr>
      <w:r>
        <w:rPr>
          <w:rFonts w:ascii="Times New Roman;sans-serif" w:hAnsi="Times New Roman;sans-serif"/>
          <w:b/>
          <w:color w:val="000000"/>
          <w:sz w:val="20"/>
        </w:rPr>
        <w:t>(a)</w:t>
      </w:r>
      <w:r>
        <w:rPr>
          <w:color w:val="000000"/>
        </w:rPr>
        <w:t xml:space="preserve">     </w:t>
      </w:r>
      <w:r>
        <w:rPr>
          <w:rFonts w:ascii="Times New Roman;sans-serif" w:hAnsi="Times New Roman;sans-serif"/>
          <w:b/>
          <w:color w:val="000000"/>
          <w:sz w:val="20"/>
        </w:rPr>
        <w:t>Sales of Unregistered Securities.</w:t>
      </w:r>
    </w:p>
    <w:p>
      <w:pPr>
        <w:pStyle w:val="TextBody"/>
        <w:spacing w:before="0" w:after="0"/>
        <w:ind w:left="0" w:right="0" w:firstLine="720"/>
        <w:rPr/>
      </w:pPr>
      <w:r>
        <w:rPr/>
      </w:r>
    </w:p>
    <w:p>
      <w:pPr>
        <w:pStyle w:val="TextBody"/>
        <w:spacing w:lineRule="auto" w:line="288" w:before="0" w:after="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the Company granted options to employees and the board of directors to purchase an aggregate of 1,069,640 shares of common stock at a weighted average exercise price of $38.60 per share. Once vested, the options are exercisable for a period of ten years from the grant date. The Company granted 227,980 restricted stock units to the board of directors and employees at a weighted average grant date fair value of $38.60 per share. The restricted stock units vest one year from the grant date. These issuances are exempt from registration in reliance on Section 4(a)(2) of the Securities Act as transactions not involving a public offering.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0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88" w:before="200" w:after="283"/>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The following exhibits are filed or furnished as part of this Quarterly Report on Form 10-Q:</w:t>
      </w:r>
    </w:p>
    <w:tbl>
      <w:tblPr>
        <w:tblW w:w="10205" w:type="dxa"/>
        <w:jc w:val="left"/>
        <w:tblInd w:w="0" w:type="dxa"/>
        <w:tblCellMar>
          <w:top w:w="28" w:type="dxa"/>
          <w:left w:w="28" w:type="dxa"/>
          <w:bottom w:w="28" w:type="dxa"/>
          <w:right w:w="28" w:type="dxa"/>
        </w:tblCellMar>
      </w:tblPr>
      <w:tblGrid>
        <w:gridCol w:w="255"/>
        <w:gridCol w:w="225"/>
        <w:gridCol w:w="226"/>
        <w:gridCol w:w="115"/>
        <w:gridCol w:w="115"/>
        <w:gridCol w:w="115"/>
        <w:gridCol w:w="2668"/>
        <w:gridCol w:w="2668"/>
        <w:gridCol w:w="3818"/>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668" w:type="dxa"/>
            <w:tcBorders/>
            <w:shd w:fill="auto" w:val="clear"/>
            <w:vAlign w:val="center"/>
          </w:tcPr>
          <w:p>
            <w:pPr>
              <w:pStyle w:val="TableContents"/>
              <w:spacing w:before="0" w:after="283"/>
              <w:rPr>
                <w:sz w:val="4"/>
                <w:szCs w:val="4"/>
              </w:rPr>
            </w:pPr>
            <w:r>
              <w:rPr>
                <w:sz w:val="4"/>
                <w:szCs w:val="4"/>
              </w:rPr>
            </w:r>
          </w:p>
        </w:tc>
        <w:tc>
          <w:tcPr>
            <w:tcW w:w="2668" w:type="dxa"/>
            <w:tcBorders/>
            <w:shd w:fill="auto" w:val="clear"/>
            <w:vAlign w:val="center"/>
          </w:tcPr>
          <w:p>
            <w:pPr>
              <w:pStyle w:val="TableContents"/>
              <w:spacing w:before="0" w:after="283"/>
              <w:rPr>
                <w:sz w:val="4"/>
                <w:szCs w:val="4"/>
              </w:rPr>
            </w:pPr>
            <w:r>
              <w:rPr>
                <w:sz w:val="4"/>
                <w:szCs w:val="4"/>
              </w:rPr>
            </w:r>
          </w:p>
        </w:tc>
        <w:tc>
          <w:tcPr>
            <w:tcW w:w="3818"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7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color w:val="000000"/>
              </w:rPr>
            </w:pPr>
            <w:r>
              <w:rPr>
                <w:color w:val="000000"/>
              </w:rPr>
              <w:t>††</w:t>
            </w:r>
            <w:r>
              <w:rPr>
                <w:rFonts w:ascii="Times New Roman;sans-serif" w:hAnsi="Times New Roman;sans-serif"/>
                <w:b w:val="false"/>
                <w:color w:val="000000"/>
                <w:sz w:val="20"/>
              </w:rPr>
              <w:t>*</w:t>
            </w:r>
          </w:p>
        </w:tc>
        <w:tc>
          <w:tcPr>
            <w:tcW w:w="915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FF"/>
                  <w:sz w:val="20"/>
                  <w:u w:val="single"/>
                </w:rPr>
                <w:t>Credit Line Agreement between UBS Bank USA and Supernus Pharmaceuticals, Inc. dated as of February 8, 2023 (incorporated by reference to Exhibit 10.1 to the Form 8-K filed on February 14, 2023, File No. 001-35518)</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upn-20230331x10qxex311.htm">
              <w:r>
                <w:rPr>
                  <w:rStyle w:val="InternetLink"/>
                  <w:rFonts w:ascii="Times New Roman;sans-serif" w:hAnsi="Times New Roman;sans-serif"/>
                  <w:b w:val="false"/>
                  <w:color w:val="0000FF"/>
                  <w:sz w:val="20"/>
                  <w:u w:val="single"/>
                </w:rPr>
                <w:t>Certification of Chief Executive Officer pursuant to Rule 13a-14(a).</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upn-20230331x10qxex312.htm">
              <w:r>
                <w:rPr>
                  <w:rStyle w:val="InternetLink"/>
                  <w:rFonts w:ascii="Times New Roman;sans-serif" w:hAnsi="Times New Roman;sans-serif"/>
                  <w:b w:val="false"/>
                  <w:color w:val="0000FF"/>
                  <w:sz w:val="20"/>
                  <w:u w:val="single"/>
                </w:rPr>
                <w:t>Certification of Chief Financial Officer pursuant to Rule 13a-14(a).</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upn-20230331x10qxex321.htm">
              <w:r>
                <w:rPr>
                  <w:rStyle w:val="InternetLink"/>
                  <w:rFonts w:ascii="Times New Roman;sans-serif" w:hAnsi="Times New Roman;sans-serif"/>
                  <w:b w:val="false"/>
                  <w:color w:val="0000FF"/>
                  <w:sz w:val="20"/>
                  <w:u w:val="single"/>
                </w:rPr>
                <w:t>Certification of Chief Executive Officer pursuant to 18 U.S.C. Section 1350, as adopted pursuant to Section 906 of the Sarbanes-Oxley Act of 2002.</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supn-20230331x10qxex322.htm">
              <w:r>
                <w:rPr>
                  <w:rStyle w:val="InternetLink"/>
                  <w:rFonts w:ascii="Times New Roman;sans-serif" w:hAnsi="Times New Roman;sans-serif"/>
                  <w:b w:val="false"/>
                  <w:color w:val="0000FF"/>
                  <w:sz w:val="20"/>
                  <w:u w:val="single"/>
                </w:rPr>
                <w:t>Certification of Chief Financial Officer pursuant to 18 U.S.C. Section 1350, as adopted pursuant to Section 906 of the Sarbanes-Oxley Act of 2002.</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the Company’s Quarterly Report on Form 10-Q for the quarter ended March 31, 2023, formatted in Inline XBRL: (i) Cover Page, (ii) Condensed Consolidated Statements of Earnings, (iii) Condensed Consolidated Statements of Comprehensive Earnings, (iv) Condensed Consolidated Balance Sheets, (v) Condensed Consolidated Statements of Changes in Stockholders' Equity, (vi) Condensed Consolidated Statements of Cash Flows, and (vii) the Notes to Condensed Consolidated Financial Statements, tagged in summary and detail.</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cover page of the Company’s Quarterly Report on Form 10-Q for the quarter ended March 31, 2023, formatted in Inline XBRL (included with the Exhibit 101 attachments).</w:t>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915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915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915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915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915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915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915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9154" w:type="dxa"/>
            <w:gridSpan w:val="3"/>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915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00" w:after="283"/>
        <w:rPr>
          <w:rFonts w:ascii="Times New Roman;sans-serif" w:hAnsi="Times New Roman;sans-serif"/>
          <w:b w:val="false"/>
          <w:color w:val="000000"/>
          <w:sz w:val="16"/>
        </w:rPr>
      </w:pPr>
      <w:r>
        <w:rPr>
          <w:rFonts w:ascii="Times New Roman;sans-serif" w:hAnsi="Times New Roman;sans-serif"/>
          <w:b w:val="false"/>
          <w:color w:val="000000"/>
          <w:sz w:val="16"/>
        </w:rPr>
        <w:t xml:space="preserve">_______________________________________________________________________________ </w:t>
      </w:r>
    </w:p>
    <w:p>
      <w:pPr>
        <w:pStyle w:val="TextBody"/>
        <w:spacing w:lineRule="auto" w:line="288" w:before="200" w:after="283"/>
        <w:ind w:left="0" w:right="0" w:hanging="720"/>
        <w:rPr>
          <w:color w:val="000000"/>
        </w:rPr>
      </w:pPr>
      <w:r>
        <w:rPr>
          <w:color w:val="000000"/>
        </w:rPr>
        <w:t>††     </w:t>
      </w:r>
      <w:r>
        <w:rPr>
          <w:rFonts w:ascii="Times New Roman;sans-serif" w:hAnsi="Times New Roman;sans-serif"/>
          <w:b w:val="false"/>
          <w:color w:val="000000"/>
          <w:sz w:val="20"/>
        </w:rPr>
        <w:t>Certain portions of this exhibit that constitute confidential information have been omitted in accordance with Regulation S-K, Item 601(b)(10)(iv) because it (i) is not material and (ii) would be competitively harmful if publicly disclosed.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    Previously filed.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dba2c20553a044fa81db52e43213d19a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SIGNATURES</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7703" w:type="dxa"/>
        <w:jc w:val="left"/>
        <w:tblInd w:w="0" w:type="dxa"/>
        <w:tblCellMar>
          <w:top w:w="28" w:type="dxa"/>
          <w:left w:w="28" w:type="dxa"/>
          <w:bottom w:w="28" w:type="dxa"/>
          <w:right w:w="28" w:type="dxa"/>
        </w:tblCellMar>
      </w:tblPr>
      <w:tblGrid>
        <w:gridCol w:w="689"/>
        <w:gridCol w:w="606"/>
        <w:gridCol w:w="609"/>
        <w:gridCol w:w="548"/>
        <w:gridCol w:w="548"/>
        <w:gridCol w:w="548"/>
        <w:gridCol w:w="1212"/>
        <w:gridCol w:w="1212"/>
        <w:gridCol w:w="1731"/>
      </w:tblGrid>
      <w:tr>
        <w:trPr/>
        <w:tc>
          <w:tcPr>
            <w:tcW w:w="689" w:type="dxa"/>
            <w:tcBorders/>
            <w:shd w:fill="auto" w:val="clear"/>
            <w:vAlign w:val="center"/>
          </w:tcPr>
          <w:p>
            <w:pPr>
              <w:pStyle w:val="TableContents"/>
              <w:spacing w:before="0" w:after="283"/>
              <w:rPr>
                <w:sz w:val="4"/>
                <w:szCs w:val="4"/>
              </w:rPr>
            </w:pPr>
            <w:r>
              <w:rPr>
                <w:sz w:val="4"/>
                <w:szCs w:val="4"/>
              </w:rPr>
            </w:r>
          </w:p>
        </w:tc>
        <w:tc>
          <w:tcPr>
            <w:tcW w:w="606"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1731" w:type="dxa"/>
            <w:tcBorders/>
            <w:shd w:fill="auto" w:val="cle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99"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SUPERNUS PHARMACEUTICALS, INC.</w:t>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9, 2023</w:t>
            </w:r>
          </w:p>
        </w:tc>
        <w:tc>
          <w:tcPr>
            <w:tcW w:w="1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Jack A. Khattar</w:t>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Jack A. Khattar</w:t>
              <w:br/>
              <w:t>President and Chief Executive Officer</w:t>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DATED: May 9, 2023</w:t>
            </w:r>
          </w:p>
        </w:tc>
        <w:tc>
          <w:tcPr>
            <w:tcW w:w="16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C. Dec</w:t>
            </w:r>
          </w:p>
        </w:tc>
      </w:tr>
      <w:tr>
        <w:trPr/>
        <w:tc>
          <w:tcPr>
            <w:tcW w:w="19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C. Dec</w:t>
              <w:br/>
              <w:t>Senior Vice-President and Chief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200" w:after="283"/>
        <w:jc w:val="right"/>
        <w:rPr>
          <w:rFonts w:ascii="Times New Roman;sans-serif" w:hAnsi="Times New Roman;sans-serif"/>
          <w:b/>
          <w:color w:val="000000"/>
          <w:sz w:val="18"/>
        </w:rPr>
      </w:pPr>
      <w:r>
        <w:rPr>
          <w:rFonts w:ascii="Times New Roman;sans-serif" w:hAnsi="Times New Roman;sans-serif"/>
          <w:b/>
          <w:color w:val="000000"/>
          <w:sz w:val="18"/>
        </w:rPr>
        <w:t>EXHIBIT 31.1</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CERTIFICATION</w:t>
      </w:r>
    </w:p>
    <w:p>
      <w:pPr>
        <w:pStyle w:val="TextBody"/>
        <w:spacing w:lineRule="auto" w:line="288" w:before="200" w:after="283"/>
        <w:rPr>
          <w:rFonts w:ascii="Times New Roman;sans-serif" w:hAnsi="Times New Roman;sans-serif"/>
          <w:b w:val="false"/>
          <w:color w:val="000000"/>
          <w:sz w:val="18"/>
        </w:rPr>
      </w:pPr>
      <w:r>
        <w:rPr>
          <w:rFonts w:ascii="Times New Roman;sans-serif" w:hAnsi="Times New Roman;sans-serif"/>
          <w:b w:val="false"/>
          <w:color w:val="000000"/>
          <w:sz w:val="18"/>
        </w:rPr>
        <w:t>I, Jack A. Khattar, certify that:</w:t>
      </w:r>
    </w:p>
    <w:p>
      <w:pPr>
        <w:pStyle w:val="TextBody"/>
        <w:spacing w:lineRule="auto" w:line="288" w:before="200" w:after="283"/>
        <w:ind w:left="0" w:right="0" w:hanging="720"/>
        <w:rPr/>
      </w:pPr>
      <w:r>
        <w:rPr>
          <w:rFonts w:ascii="Times New Roman;sans-serif" w:hAnsi="Times New Roman;sans-serif"/>
          <w:b w:val="false"/>
          <w:color w:val="000000"/>
          <w:sz w:val="18"/>
        </w:rPr>
        <w:t>1.</w:t>
      </w:r>
      <w:r>
        <w:rPr>
          <w:rFonts w:ascii="Times New Roman;sans-serif" w:hAnsi="Times New Roman;sans-serif"/>
          <w:b w:val="false"/>
          <w:color w:val="000000"/>
          <w:sz w:val="20"/>
        </w:rPr>
        <w:t>I have reviewed this Quarterly Report on Form 10-Q of Supernus Pharmaceuticals, Inc.;</w:t>
      </w:r>
    </w:p>
    <w:p>
      <w:pPr>
        <w:pStyle w:val="TextBody"/>
        <w:spacing w:lineRule="auto" w:line="288" w:before="200" w:after="283"/>
        <w:ind w:left="0" w:right="0" w:hanging="720"/>
        <w:rPr/>
      </w:pPr>
      <w:r>
        <w:rPr>
          <w:rFonts w:ascii="Times New Roman;sans-serif" w:hAnsi="Times New Roman;sans-serif"/>
          <w:b w:val="false"/>
          <w:color w:val="000000"/>
          <w:sz w:val="18"/>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720"/>
        <w:rPr/>
      </w:pPr>
      <w:r>
        <w:rPr>
          <w:rFonts w:ascii="Times New Roman;sans-serif" w:hAnsi="Times New Roman;sans-serif"/>
          <w:b w:val="false"/>
          <w:color w:val="000000"/>
          <w:sz w:val="18"/>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720"/>
        <w:rPr/>
      </w:pPr>
      <w:r>
        <w:rPr>
          <w:rFonts w:ascii="Times New Roman;sans-serif" w:hAnsi="Times New Roman;sans-serif"/>
          <w:b w:val="false"/>
          <w:color w:val="000000"/>
          <w:sz w:val="18"/>
        </w:rPr>
        <w:t>4.</w:t>
      </w: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720"/>
        <w:rPr/>
      </w:pPr>
      <w:r>
        <w:rPr>
          <w:rFonts w:ascii="Times New Roman;sans-serif" w:hAnsi="Times New Roman;sans-serif"/>
          <w:b w:val="false"/>
          <w:color w:val="000000"/>
          <w:sz w:val="18"/>
        </w:rPr>
        <w:t>(a)</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720"/>
        <w:rPr/>
      </w:pPr>
      <w:r>
        <w:rPr>
          <w:rFonts w:ascii="Times New Roman;sans-serif" w:hAnsi="Times New Roman;sans-serif"/>
          <w:b w:val="false"/>
          <w:color w:val="000000"/>
          <w:sz w:val="18"/>
        </w:rPr>
        <w:t>(b)</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720"/>
        <w:rPr/>
      </w:pPr>
      <w:r>
        <w:rPr>
          <w:rFonts w:ascii="Times New Roman;sans-serif" w:hAnsi="Times New Roman;sans-serif"/>
          <w:b w:val="false"/>
          <w:color w:val="000000"/>
          <w:sz w:val="18"/>
        </w:rPr>
        <w:t>(c)</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hanging="720"/>
        <w:rPr/>
      </w:pPr>
      <w:r>
        <w:rPr>
          <w:rFonts w:ascii="Times New Roman;sans-serif" w:hAnsi="Times New Roman;sans-serif"/>
          <w:b w:val="false"/>
          <w:color w:val="000000"/>
          <w:sz w:val="18"/>
        </w:rPr>
        <w:t>(d)</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720"/>
        <w:rPr/>
      </w:pPr>
      <w:r>
        <w:rPr>
          <w:rFonts w:ascii="Times New Roman;sans-serif" w:hAnsi="Times New Roman;sans-serif"/>
          <w:b w:val="false"/>
          <w:color w:val="000000"/>
          <w:sz w:val="18"/>
        </w:rPr>
        <w:t>5.</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649" w:type="dxa"/>
        <w:jc w:val="left"/>
        <w:tblInd w:w="0" w:type="dxa"/>
        <w:tblCellMar>
          <w:top w:w="28" w:type="dxa"/>
          <w:left w:w="28" w:type="dxa"/>
          <w:bottom w:w="28" w:type="dxa"/>
          <w:right w:w="28" w:type="dxa"/>
        </w:tblCellMar>
      </w:tblPr>
      <w:tblGrid>
        <w:gridCol w:w="525"/>
        <w:gridCol w:w="463"/>
        <w:gridCol w:w="466"/>
        <w:gridCol w:w="120"/>
        <w:gridCol w:w="120"/>
        <w:gridCol w:w="120"/>
        <w:gridCol w:w="830"/>
        <w:gridCol w:w="830"/>
        <w:gridCol w:w="1175"/>
      </w:tblGrid>
      <w:tr>
        <w:trPr/>
        <w:tc>
          <w:tcPr>
            <w:tcW w:w="525"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r>
      <w:tr>
        <w:trPr/>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May 9, 2023</w:t>
            </w:r>
          </w:p>
        </w:tc>
        <w:tc>
          <w:tcPr>
            <w:tcW w:w="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Jack A. Khattar</w:t>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Jack A. Khattar</w:t>
              <w:br/>
              <w:t>President and Chief Executive Officer</w:t>
            </w:r>
          </w:p>
        </w:tc>
      </w:tr>
    </w:tbl>
    <w:p>
      <w:pPr>
        <w:pStyle w:val="TextBody"/>
        <w:ind w:left="0" w:right="0" w:hanging="3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18"/>
        </w:rPr>
      </w:pPr>
      <w:r>
        <w:rPr>
          <w:rFonts w:ascii="Times New Roman;sans-serif" w:hAnsi="Times New Roman;sans-serif"/>
          <w:b/>
          <w:color w:val="000000"/>
          <w:sz w:val="18"/>
        </w:rPr>
        <w:t>EXHIBIT 31.2</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CERTIFICATION</w:t>
      </w:r>
    </w:p>
    <w:p>
      <w:pPr>
        <w:pStyle w:val="TextBody"/>
        <w:spacing w:lineRule="auto" w:line="288" w:before="200" w:after="283"/>
        <w:rPr>
          <w:rFonts w:ascii="Times New Roman;sans-serif" w:hAnsi="Times New Roman;sans-serif"/>
          <w:b w:val="false"/>
          <w:color w:val="000000"/>
          <w:sz w:val="18"/>
        </w:rPr>
      </w:pPr>
      <w:r>
        <w:rPr>
          <w:rFonts w:ascii="Times New Roman;sans-serif" w:hAnsi="Times New Roman;sans-serif"/>
          <w:b w:val="false"/>
          <w:color w:val="000000"/>
          <w:sz w:val="18"/>
        </w:rPr>
        <w:t>I, Timothy C. Dec, certify that:</w:t>
      </w:r>
    </w:p>
    <w:p>
      <w:pPr>
        <w:pStyle w:val="TextBody"/>
        <w:spacing w:lineRule="auto" w:line="288" w:before="200" w:after="283"/>
        <w:ind w:left="0" w:right="0" w:hanging="720"/>
        <w:rPr/>
      </w:pPr>
      <w:r>
        <w:rPr>
          <w:rFonts w:ascii="Times New Roman;sans-serif" w:hAnsi="Times New Roman;sans-serif"/>
          <w:b w:val="false"/>
          <w:color w:val="000000"/>
          <w:sz w:val="18"/>
        </w:rPr>
        <w:t>1.</w:t>
      </w:r>
      <w:r>
        <w:rPr>
          <w:rFonts w:ascii="Times New Roman;sans-serif" w:hAnsi="Times New Roman;sans-serif"/>
          <w:b w:val="false"/>
          <w:color w:val="000000"/>
          <w:sz w:val="20"/>
        </w:rPr>
        <w:t>I have reviewed this Quarterly Report on Form 10-Q of Supernus Pharmaceuticals, Inc.;</w:t>
      </w:r>
    </w:p>
    <w:p>
      <w:pPr>
        <w:pStyle w:val="TextBody"/>
        <w:spacing w:lineRule="auto" w:line="288" w:before="200" w:after="283"/>
        <w:ind w:left="0" w:right="0" w:hanging="720"/>
        <w:rPr/>
      </w:pPr>
      <w:r>
        <w:rPr>
          <w:rFonts w:ascii="Times New Roman;sans-serif" w:hAnsi="Times New Roman;sans-serif"/>
          <w:b w:val="false"/>
          <w:color w:val="000000"/>
          <w:sz w:val="18"/>
        </w:rPr>
        <w:t>2.</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288" w:before="200" w:after="283"/>
        <w:ind w:left="0" w:right="0" w:hanging="720"/>
        <w:rPr/>
      </w:pPr>
      <w:r>
        <w:rPr>
          <w:rFonts w:ascii="Times New Roman;sans-serif" w:hAnsi="Times New Roman;sans-serif"/>
          <w:b w:val="false"/>
          <w:color w:val="000000"/>
          <w:sz w:val="18"/>
        </w:rPr>
        <w:t>3.</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00" w:after="283"/>
        <w:ind w:left="0" w:right="0" w:hanging="720"/>
        <w:rPr/>
      </w:pPr>
      <w:r>
        <w:rPr>
          <w:rFonts w:ascii="Times New Roman;sans-serif" w:hAnsi="Times New Roman;sans-serif"/>
          <w:b w:val="false"/>
          <w:color w:val="000000"/>
          <w:sz w:val="18"/>
        </w:rPr>
        <w:t>4.</w:t>
      </w: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00" w:after="283"/>
        <w:ind w:left="0" w:right="0" w:hanging="720"/>
        <w:rPr/>
      </w:pPr>
      <w:r>
        <w:rPr>
          <w:rFonts w:ascii="Times New Roman;sans-serif" w:hAnsi="Times New Roman;sans-serif"/>
          <w:b w:val="false"/>
          <w:color w:val="000000"/>
          <w:sz w:val="18"/>
        </w:rPr>
        <w:t>(a)</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00" w:after="283"/>
        <w:ind w:left="0" w:right="0" w:hanging="720"/>
        <w:rPr/>
      </w:pPr>
      <w:r>
        <w:rPr>
          <w:rFonts w:ascii="Times New Roman;sans-serif" w:hAnsi="Times New Roman;sans-serif"/>
          <w:b w:val="false"/>
          <w:color w:val="000000"/>
          <w:sz w:val="18"/>
        </w:rPr>
        <w:t>5.</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00" w:after="283"/>
        <w:ind w:left="0" w:right="0" w:hanging="72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5488" w:type="dxa"/>
        <w:jc w:val="left"/>
        <w:tblInd w:w="0" w:type="dxa"/>
        <w:tblCellMar>
          <w:top w:w="28" w:type="dxa"/>
          <w:left w:w="28" w:type="dxa"/>
          <w:bottom w:w="28" w:type="dxa"/>
          <w:right w:w="28" w:type="dxa"/>
        </w:tblCellMar>
      </w:tblPr>
      <w:tblGrid>
        <w:gridCol w:w="525"/>
        <w:gridCol w:w="463"/>
        <w:gridCol w:w="466"/>
        <w:gridCol w:w="120"/>
        <w:gridCol w:w="120"/>
        <w:gridCol w:w="120"/>
        <w:gridCol w:w="1070"/>
        <w:gridCol w:w="1070"/>
        <w:gridCol w:w="1534"/>
      </w:tblGrid>
      <w:tr>
        <w:trPr/>
        <w:tc>
          <w:tcPr>
            <w:tcW w:w="525"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r>
      <w:tr>
        <w:trPr/>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May 9, 2023</w:t>
            </w:r>
          </w:p>
        </w:tc>
        <w:tc>
          <w:tcPr>
            <w:tcW w:w="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6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Timothy C. Dec</w:t>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Timothy C. Dec</w:t>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Vice President and Chief Financial Officer</w:t>
            </w:r>
          </w:p>
        </w:tc>
      </w:tr>
    </w:tbl>
    <w:p>
      <w:pPr>
        <w:pStyle w:val="TextBody"/>
        <w:spacing w:before="200" w:after="283"/>
        <w:ind w:left="0" w:right="0" w:hanging="360"/>
        <w:rPr/>
      </w:pPr>
      <w:r>
        <w:rPr/>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18"/>
        </w:rPr>
      </w:pPr>
      <w:r>
        <w:rPr>
          <w:rFonts w:ascii="Times New Roman;sans-serif" w:hAnsi="Times New Roman;sans-serif"/>
          <w:b/>
          <w:color w:val="000000"/>
          <w:sz w:val="18"/>
        </w:rPr>
        <w:t>EXHIBIT 32.1</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SUPERNUS PHARMACEUTICALS, INC.</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CERTIFICATION PURSUANT TO</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18 U.S.C. sec. 1350,</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spacing w:lineRule="auto" w:line="288" w:before="200" w:after="283"/>
        <w:rPr>
          <w:rFonts w:ascii="Times New Roman;sans-serif" w:hAnsi="Times New Roman;sans-serif"/>
          <w:b w:val="false"/>
          <w:color w:val="000000"/>
          <w:sz w:val="18"/>
        </w:rPr>
      </w:pPr>
      <w:r>
        <w:rPr>
          <w:rFonts w:ascii="Times New Roman;sans-serif" w:hAnsi="Times New Roman;sans-serif"/>
          <w:b w:val="false"/>
          <w:color w:val="000000"/>
          <w:sz w:val="18"/>
        </w:rPr>
        <w:t>In connection with the Quarterly Report of Supernus Pharmaceuticals, Inc. (the “Company”) on Form 10-Q for the period ended March 31, 2023 as filed with the Securities and Exchange Commission on the date hereof (the “Report”), I, Jack A. Khattar, President and Chief Executive Officer of the Company, certify, pursuant to 18 U.S.C. sec. 1350, as adopted pursuant to Section 906 of the Sarbanes-Oxley Act of 2002, that:</w:t>
      </w:r>
    </w:p>
    <w:p>
      <w:pPr>
        <w:pStyle w:val="TextBody"/>
        <w:spacing w:lineRule="auto" w:line="288" w:before="200" w:after="283"/>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(1)The Report fully complies with the requirements of section 13(a) or 15(d) of the Securities Exchange Act of 1934; and</w:t>
      </w:r>
    </w:p>
    <w:p>
      <w:pPr>
        <w:pStyle w:val="TextBody"/>
        <w:spacing w:lineRule="auto" w:line="288" w:before="200" w:after="283"/>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(2)The information contained in the Report fairly presents, in all material respects, the financial condition and results of operations of the Company.</w:t>
      </w:r>
    </w:p>
    <w:tbl>
      <w:tblPr>
        <w:tblW w:w="4649" w:type="dxa"/>
        <w:jc w:val="left"/>
        <w:tblInd w:w="0" w:type="dxa"/>
        <w:tblCellMar>
          <w:top w:w="28" w:type="dxa"/>
          <w:left w:w="28" w:type="dxa"/>
          <w:bottom w:w="28" w:type="dxa"/>
          <w:right w:w="28" w:type="dxa"/>
        </w:tblCellMar>
      </w:tblPr>
      <w:tblGrid>
        <w:gridCol w:w="525"/>
        <w:gridCol w:w="463"/>
        <w:gridCol w:w="466"/>
        <w:gridCol w:w="120"/>
        <w:gridCol w:w="120"/>
        <w:gridCol w:w="120"/>
        <w:gridCol w:w="830"/>
        <w:gridCol w:w="830"/>
        <w:gridCol w:w="1175"/>
      </w:tblGrid>
      <w:tr>
        <w:trPr/>
        <w:tc>
          <w:tcPr>
            <w:tcW w:w="525"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r>
      <w:tr>
        <w:trPr/>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May 9, 2023</w:t>
            </w:r>
          </w:p>
        </w:tc>
        <w:tc>
          <w:tcPr>
            <w:tcW w:w="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28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Jack A. Khattar</w:t>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Jack A. Khattar</w:t>
              <w:br/>
              <w:t>President and Chief Executive Officer</w:t>
            </w:r>
          </w:p>
        </w:tc>
      </w:tr>
    </w:tbl>
    <w:p>
      <w:pPr>
        <w:pStyle w:val="TextBody"/>
        <w:ind w:left="0" w:right="0" w:hanging="360"/>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200" w:after="283"/>
        <w:jc w:val="right"/>
        <w:rPr>
          <w:rFonts w:ascii="Times New Roman;sans-serif" w:hAnsi="Times New Roman;sans-serif"/>
          <w:b/>
          <w:color w:val="000000"/>
          <w:sz w:val="18"/>
        </w:rPr>
      </w:pPr>
      <w:r>
        <w:rPr>
          <w:rFonts w:ascii="Times New Roman;sans-serif" w:hAnsi="Times New Roman;sans-serif"/>
          <w:b/>
          <w:color w:val="000000"/>
          <w:sz w:val="18"/>
        </w:rPr>
        <w:t>EXHIBIT 32.2</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SUPERNUS PHARMACEUTICALS, INC.</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CERTIFICATION PURSUANT TO</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18 U.S.C. sec. 1350,</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AS ADOPTED PURSUANT TO</w:t>
      </w:r>
    </w:p>
    <w:p>
      <w:pPr>
        <w:pStyle w:val="TextBody"/>
        <w:spacing w:lineRule="auto" w:line="288" w:before="200" w:after="283"/>
        <w:jc w:val="center"/>
        <w:rPr>
          <w:rFonts w:ascii="Times New Roman;sans-serif" w:hAnsi="Times New Roman;sans-serif"/>
          <w:b/>
          <w:color w:val="000000"/>
          <w:sz w:val="18"/>
        </w:rPr>
      </w:pPr>
      <w:r>
        <w:rPr>
          <w:rFonts w:ascii="Times New Roman;sans-serif" w:hAnsi="Times New Roman;sans-serif"/>
          <w:b/>
          <w:color w:val="000000"/>
          <w:sz w:val="18"/>
        </w:rPr>
        <w:t>SECTION 906 OF THE SARBANES-OXLEY ACT OF 2002</w:t>
      </w:r>
    </w:p>
    <w:p>
      <w:pPr>
        <w:pStyle w:val="TextBody"/>
        <w:spacing w:lineRule="auto" w:line="288" w:before="200" w:after="283"/>
        <w:rPr>
          <w:rFonts w:ascii="Times New Roman;sans-serif" w:hAnsi="Times New Roman;sans-serif"/>
          <w:b w:val="false"/>
          <w:color w:val="000000"/>
          <w:sz w:val="18"/>
        </w:rPr>
      </w:pPr>
      <w:r>
        <w:rPr>
          <w:rFonts w:ascii="Times New Roman;sans-serif" w:hAnsi="Times New Roman;sans-serif"/>
          <w:b w:val="false"/>
          <w:color w:val="000000"/>
          <w:sz w:val="18"/>
        </w:rPr>
        <w:t>In connection with the Quarterly Report of Supernus Pharmaceuticals, Inc. (the “Company”) on Form 10-Q for the period ended March 31, 2023 as filed with the Securities and Exchange Commission on the date hereof (the “Report”), I, Timothy C. Dec, Senior Vice President and Chief Financial Officer of the Company, certify, pursuant to 18 U.S.C. sec. 1350, as adopted pursuant to Section 906 of the Sarbanes-Oxley Act of 2002, that:</w:t>
      </w:r>
    </w:p>
    <w:p>
      <w:pPr>
        <w:pStyle w:val="TextBody"/>
        <w:spacing w:lineRule="auto" w:line="288" w:before="200" w:after="283"/>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(1)The Report fully complies with the requirements of section 13(a) or 15(d) of the Securities Exchange Act of 1934; and</w:t>
      </w:r>
    </w:p>
    <w:p>
      <w:pPr>
        <w:pStyle w:val="TextBody"/>
        <w:spacing w:lineRule="auto" w:line="288" w:before="200" w:after="283"/>
        <w:ind w:left="0" w:right="0" w:hanging="720"/>
        <w:rPr>
          <w:rFonts w:ascii="Times New Roman;sans-serif" w:hAnsi="Times New Roman;sans-serif"/>
          <w:b w:val="false"/>
          <w:color w:val="000000"/>
          <w:sz w:val="18"/>
        </w:rPr>
      </w:pPr>
      <w:r>
        <w:rPr>
          <w:rFonts w:ascii="Times New Roman;sans-serif" w:hAnsi="Times New Roman;sans-serif"/>
          <w:b w:val="false"/>
          <w:color w:val="000000"/>
          <w:sz w:val="18"/>
        </w:rPr>
        <w:t>(2)The information contained in the Report fairly presents, in all material respects, the financial condition and results of operations of the Company.</w:t>
      </w:r>
    </w:p>
    <w:tbl>
      <w:tblPr>
        <w:tblW w:w="5488" w:type="dxa"/>
        <w:jc w:val="left"/>
        <w:tblInd w:w="0" w:type="dxa"/>
        <w:tblCellMar>
          <w:top w:w="28" w:type="dxa"/>
          <w:left w:w="28" w:type="dxa"/>
          <w:bottom w:w="28" w:type="dxa"/>
          <w:right w:w="28" w:type="dxa"/>
        </w:tblCellMar>
      </w:tblPr>
      <w:tblGrid>
        <w:gridCol w:w="525"/>
        <w:gridCol w:w="463"/>
        <w:gridCol w:w="466"/>
        <w:gridCol w:w="120"/>
        <w:gridCol w:w="120"/>
        <w:gridCol w:w="120"/>
        <w:gridCol w:w="1070"/>
        <w:gridCol w:w="1070"/>
        <w:gridCol w:w="1534"/>
      </w:tblGrid>
      <w:tr>
        <w:trPr/>
        <w:tc>
          <w:tcPr>
            <w:tcW w:w="525"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070" w:type="dxa"/>
            <w:tcBorders/>
            <w:shd w:fill="auto" w:val="clear"/>
            <w:vAlign w:val="center"/>
          </w:tcPr>
          <w:p>
            <w:pPr>
              <w:pStyle w:val="TableContents"/>
              <w:spacing w:before="0" w:after="283"/>
              <w:rPr>
                <w:sz w:val="4"/>
                <w:szCs w:val="4"/>
              </w:rPr>
            </w:pPr>
            <w:r>
              <w:rPr>
                <w:sz w:val="4"/>
                <w:szCs w:val="4"/>
              </w:rPr>
            </w:r>
          </w:p>
        </w:tc>
        <w:tc>
          <w:tcPr>
            <w:tcW w:w="1534" w:type="dxa"/>
            <w:tcBorders/>
            <w:shd w:fill="auto" w:val="clear"/>
            <w:vAlign w:val="center"/>
          </w:tcPr>
          <w:p>
            <w:pPr>
              <w:pStyle w:val="TableContents"/>
              <w:spacing w:before="0" w:after="283"/>
              <w:rPr>
                <w:sz w:val="4"/>
                <w:szCs w:val="4"/>
              </w:rPr>
            </w:pPr>
            <w:r>
              <w:rPr>
                <w:sz w:val="4"/>
                <w:szCs w:val="4"/>
              </w:rPr>
            </w:r>
          </w:p>
        </w:tc>
      </w:tr>
      <w:tr>
        <w:trPr/>
        <w:tc>
          <w:tcPr>
            <w:tcW w:w="14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Date: May 9, 2023</w:t>
            </w:r>
          </w:p>
        </w:tc>
        <w:tc>
          <w:tcPr>
            <w:tcW w:w="36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By:</w:t>
            </w:r>
          </w:p>
        </w:tc>
        <w:tc>
          <w:tcPr>
            <w:tcW w:w="36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 Timothy C. Dec</w:t>
            </w:r>
          </w:p>
        </w:tc>
      </w:tr>
      <w:tr>
        <w:trPr/>
        <w:tc>
          <w:tcPr>
            <w:tcW w:w="14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Timothy C. Dec</w:t>
              <w:br/>
              <w:t>Senior Vice President and Chief Financial Officer</w:t>
            </w:r>
          </w:p>
        </w:tc>
      </w:tr>
    </w:tbl>
    <w:p>
      <w:pPr>
        <w:pStyle w:val="TextBody"/>
        <w:ind w:left="0" w:right="0" w:hanging="360"/>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356576/000110465923021918/tm235504d1_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22509</Words>
  <CharactersWithSpaces>147587</CharactersWithSpaces>
  <Paragraphs>2116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