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71767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295910</wp:posOffset>
            </wp:positionV>
            <wp:extent cx="71767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3"/>
        <w:spacing w:after="0"/>
        <w:rPr>
          <w:sz w:val="20"/>
          <w:szCs w:val="20"/>
          <w:color w:val="auto"/>
        </w:rPr>
      </w:pPr>
      <w:r>
        <w:rPr>
          <w:rFonts w:ascii="Arial" w:cs="Arial" w:eastAsia="Arial" w:hAnsi="Arial"/>
          <w:sz w:val="12"/>
          <w:szCs w:val="12"/>
          <w:b w:val="1"/>
          <w:bCs w:val="1"/>
          <w:color w:val="auto"/>
        </w:rPr>
        <w:t>WASHINGTON, DC 20549</w:t>
      </w:r>
    </w:p>
    <w:p>
      <w:pPr>
        <w:spacing w:after="0" w:line="53" w:lineRule="exact"/>
        <w:rPr>
          <w:sz w:val="24"/>
          <w:szCs w:val="24"/>
          <w:color w:val="auto"/>
        </w:rPr>
      </w:pPr>
    </w:p>
    <w:p>
      <w:pPr>
        <w:jc w:val="center"/>
        <w:ind w:right="13"/>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ind w:left="7"/>
        <w:spacing w:after="0"/>
        <w:rPr>
          <w:sz w:val="20"/>
          <w:szCs w:val="20"/>
          <w:color w:val="auto"/>
        </w:rPr>
      </w:pPr>
      <w:r>
        <w:rPr>
          <w:rFonts w:ascii="Arial" w:cs="Arial" w:eastAsia="Arial" w:hAnsi="Arial"/>
          <w:sz w:val="12"/>
          <w:szCs w:val="12"/>
          <w:b w:val="1"/>
          <w:bCs w:val="1"/>
          <w:color w:val="auto"/>
        </w:rPr>
        <w:t>(Mark One)</w:t>
      </w:r>
    </w:p>
    <w:p>
      <w:pPr>
        <w:spacing w:after="0" w:line="16" w:lineRule="exact"/>
        <w:rPr>
          <w:sz w:val="24"/>
          <w:szCs w:val="24"/>
          <w:color w:val="auto"/>
        </w:rPr>
      </w:pPr>
    </w:p>
    <w:p>
      <w:pPr>
        <w:ind w:left="347" w:hanging="335"/>
        <w:spacing w:after="0"/>
        <w:tabs>
          <w:tab w:leader="none" w:pos="34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37" w:lineRule="exact"/>
        <w:rPr>
          <w:sz w:val="24"/>
          <w:szCs w:val="24"/>
          <w:color w:val="auto"/>
        </w:rPr>
      </w:pPr>
    </w:p>
    <w:p>
      <w:pPr>
        <w:jc w:val="center"/>
        <w:ind w:right="13"/>
        <w:spacing w:after="0"/>
        <w:rPr>
          <w:sz w:val="20"/>
          <w:szCs w:val="20"/>
          <w:color w:val="auto"/>
        </w:rPr>
      </w:pPr>
      <w:r>
        <w:rPr>
          <w:rFonts w:ascii="Arial" w:cs="Arial" w:eastAsia="Arial" w:hAnsi="Arial"/>
          <w:sz w:val="12"/>
          <w:szCs w:val="12"/>
          <w:b w:val="1"/>
          <w:bCs w:val="1"/>
          <w:color w:val="auto"/>
        </w:rPr>
        <w:t>For the quarterly period ended September 30, 2021</w:t>
      </w:r>
    </w:p>
    <w:p>
      <w:pPr>
        <w:spacing w:after="0" w:line="72" w:lineRule="exact"/>
        <w:rPr>
          <w:sz w:val="24"/>
          <w:szCs w:val="24"/>
          <w:color w:val="auto"/>
        </w:rPr>
      </w:pPr>
    </w:p>
    <w:p>
      <w:pPr>
        <w:jc w:val="center"/>
        <w:ind w:right="13"/>
        <w:spacing w:after="0"/>
        <w:rPr>
          <w:sz w:val="20"/>
          <w:szCs w:val="20"/>
          <w:color w:val="auto"/>
        </w:rPr>
      </w:pPr>
      <w:r>
        <w:rPr>
          <w:rFonts w:ascii="Arial" w:cs="Arial" w:eastAsia="Arial" w:hAnsi="Arial"/>
          <w:sz w:val="12"/>
          <w:szCs w:val="12"/>
          <w:b w:val="1"/>
          <w:bCs w:val="1"/>
          <w:color w:val="auto"/>
        </w:rPr>
        <w:t>OR</w:t>
      </w:r>
    </w:p>
    <w:p>
      <w:pPr>
        <w:spacing w:after="0" w:line="94" w:lineRule="exact"/>
        <w:rPr>
          <w:sz w:val="24"/>
          <w:szCs w:val="24"/>
          <w:color w:val="auto"/>
        </w:rPr>
      </w:pPr>
    </w:p>
    <w:p>
      <w:pPr>
        <w:ind w:left="547" w:hanging="338"/>
        <w:spacing w:after="0"/>
        <w:tabs>
          <w:tab w:leader="none" w:pos="547"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307"/>
          </w:cols>
          <w:pgMar w:left="293" w:top="204" w:right="299" w:bottom="1440" w:gutter="0" w:footer="0" w:header="0"/>
        </w:sectPr>
      </w:pPr>
    </w:p>
    <w:p>
      <w:pPr>
        <w:spacing w:after="0" w:line="137" w:lineRule="exact"/>
        <w:rPr>
          <w:sz w:val="24"/>
          <w:szCs w:val="24"/>
          <w:color w:val="auto"/>
        </w:rPr>
      </w:pPr>
    </w:p>
    <w:p>
      <w:pPr>
        <w:ind w:left="4347"/>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95" w:lineRule="exact"/>
        <w:rPr>
          <w:sz w:val="24"/>
          <w:szCs w:val="24"/>
          <w:color w:val="auto"/>
        </w:rPr>
      </w:pPr>
    </w:p>
    <w:p>
      <w:pPr>
        <w:sectPr>
          <w:pgSz w:w="11900" w:h="16838" w:orient="portrait"/>
          <w:cols w:equalWidth="0" w:num="2">
            <w:col w:w="5907" w:space="520"/>
            <w:col w:w="4880"/>
          </w:cols>
          <w:pgMar w:left="293" w:top="204" w:right="299" w:bottom="1440" w:gutter="0" w:footer="0" w:header="0"/>
          <w:type w:val="continuous"/>
        </w:sectPr>
      </w:pPr>
    </w:p>
    <w:p>
      <w:pPr>
        <w:jc w:val="center"/>
        <w:ind w:right="13"/>
        <w:spacing w:after="0"/>
        <w:rPr>
          <w:sz w:val="20"/>
          <w:szCs w:val="20"/>
          <w:color w:val="auto"/>
        </w:rPr>
      </w:pPr>
      <w:r>
        <w:rPr>
          <w:rFonts w:ascii="Arial" w:cs="Arial" w:eastAsia="Arial" w:hAnsi="Arial"/>
          <w:sz w:val="12"/>
          <w:szCs w:val="12"/>
          <w:b w:val="1"/>
          <w:bCs w:val="1"/>
          <w:color w:val="auto"/>
        </w:rPr>
        <w:t>Commission File Number: 001-35518</w:t>
      </w:r>
    </w:p>
    <w:p>
      <w:pPr>
        <w:spacing w:after="0" w:line="54" w:lineRule="exact"/>
        <w:rPr>
          <w:sz w:val="24"/>
          <w:szCs w:val="24"/>
          <w:color w:val="auto"/>
        </w:rPr>
      </w:pPr>
    </w:p>
    <w:p>
      <w:pPr>
        <w:jc w:val="center"/>
        <w:ind w:right="13"/>
        <w:spacing w:after="0"/>
        <w:rPr>
          <w:sz w:val="20"/>
          <w:szCs w:val="20"/>
          <w:color w:val="auto"/>
        </w:rPr>
      </w:pPr>
      <w:r>
        <w:rPr>
          <w:rFonts w:ascii="Arial" w:cs="Arial" w:eastAsia="Arial" w:hAnsi="Arial"/>
          <w:sz w:val="18"/>
          <w:szCs w:val="18"/>
          <w:b w:val="1"/>
          <w:bCs w:val="1"/>
          <w:color w:val="auto"/>
        </w:rPr>
        <w:t>SUPERNUS PHARMACEUTICALS, INC.</w:t>
      </w:r>
    </w:p>
    <w:p>
      <w:pPr>
        <w:spacing w:after="0" w:line="45" w:lineRule="exact"/>
        <w:rPr>
          <w:sz w:val="24"/>
          <w:szCs w:val="24"/>
          <w:color w:val="auto"/>
        </w:rPr>
      </w:pPr>
    </w:p>
    <w:p>
      <w:pPr>
        <w:jc w:val="center"/>
        <w:ind w:right="13"/>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307"/>
          </w:cols>
          <w:pgMar w:left="293" w:top="204" w:right="299" w:bottom="1440" w:gutter="0" w:footer="0" w:header="0"/>
          <w:type w:val="continuous"/>
        </w:sectPr>
      </w:pPr>
    </w:p>
    <w:p>
      <w:pPr>
        <w:spacing w:after="0" w:line="20" w:lineRule="exact"/>
        <w:rPr>
          <w:sz w:val="24"/>
          <w:szCs w:val="24"/>
          <w:color w:val="auto"/>
        </w:rPr>
      </w:pPr>
    </w:p>
    <w:p>
      <w:pPr>
        <w:ind w:left="1827"/>
        <w:spacing w:after="0"/>
        <w:rPr>
          <w:sz w:val="20"/>
          <w:szCs w:val="20"/>
          <w:color w:val="auto"/>
        </w:rPr>
      </w:pPr>
      <w:r>
        <w:rPr>
          <w:rFonts w:ascii="Arial" w:cs="Arial" w:eastAsia="Arial" w:hAnsi="Arial"/>
          <w:sz w:val="12"/>
          <w:szCs w:val="12"/>
          <w:b w:val="1"/>
          <w:bCs w:val="1"/>
          <w:color w:val="auto"/>
        </w:rPr>
        <w:t>Delaware</w:t>
      </w:r>
    </w:p>
    <w:p>
      <w:pPr>
        <w:spacing w:after="0" w:line="11" w:lineRule="exact"/>
        <w:rPr>
          <w:sz w:val="24"/>
          <w:szCs w:val="24"/>
          <w:color w:val="auto"/>
        </w:rPr>
      </w:pPr>
    </w:p>
    <w:p>
      <w:pPr>
        <w:ind w:left="1387"/>
        <w:spacing w:after="0"/>
        <w:rPr>
          <w:sz w:val="20"/>
          <w:szCs w:val="20"/>
          <w:color w:val="auto"/>
        </w:rPr>
      </w:pPr>
      <w:r>
        <w:rPr>
          <w:rFonts w:ascii="Arial" w:cs="Arial" w:eastAsia="Arial" w:hAnsi="Arial"/>
          <w:sz w:val="10"/>
          <w:szCs w:val="10"/>
          <w:color w:val="auto"/>
        </w:rPr>
        <w:t>(State or other jurisdiction of</w:t>
      </w:r>
    </w:p>
    <w:p>
      <w:pPr>
        <w:spacing w:after="0" w:line="4" w:lineRule="exact"/>
        <w:rPr>
          <w:sz w:val="24"/>
          <w:szCs w:val="24"/>
          <w:color w:val="auto"/>
        </w:rPr>
      </w:pPr>
    </w:p>
    <w:p>
      <w:pPr>
        <w:ind w:left="1367"/>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2"/>
          <w:szCs w:val="12"/>
          <w:b w:val="1"/>
          <w:bCs w:val="1"/>
          <w:color w:val="auto"/>
        </w:rPr>
        <w:t>20-2590184</w:t>
      </w: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10"/>
          <w:szCs w:val="10"/>
          <w:color w:val="auto"/>
        </w:rPr>
        <w:t>(I.R.S. Employer</w:t>
      </w:r>
    </w:p>
    <w:p>
      <w:pPr>
        <w:spacing w:after="0" w:line="4" w:lineRule="exact"/>
        <w:rPr>
          <w:sz w:val="24"/>
          <w:szCs w:val="24"/>
          <w:color w:val="auto"/>
        </w:rPr>
      </w:pPr>
    </w:p>
    <w:p>
      <w:pPr>
        <w:jc w:val="center"/>
        <w:ind w:right="1640"/>
        <w:spacing w:after="0"/>
        <w:rPr>
          <w:sz w:val="20"/>
          <w:szCs w:val="20"/>
          <w:color w:val="auto"/>
        </w:rPr>
      </w:pPr>
      <w:r>
        <w:rPr>
          <w:rFonts w:ascii="Arial" w:cs="Arial" w:eastAsia="Arial" w:hAnsi="Arial"/>
          <w:sz w:val="10"/>
          <w:szCs w:val="10"/>
          <w:color w:val="auto"/>
        </w:rPr>
        <w:t>Identification No.)</w:t>
      </w:r>
    </w:p>
    <w:p>
      <w:pPr>
        <w:spacing w:after="0" w:line="56" w:lineRule="exact"/>
        <w:rPr>
          <w:sz w:val="24"/>
          <w:szCs w:val="24"/>
          <w:color w:val="auto"/>
        </w:rPr>
      </w:pPr>
    </w:p>
    <w:p>
      <w:pPr>
        <w:sectPr>
          <w:pgSz w:w="11900" w:h="16838" w:orient="portrait"/>
          <w:cols w:equalWidth="0" w:num="2">
            <w:col w:w="8087" w:space="720"/>
            <w:col w:w="2500"/>
          </w:cols>
          <w:pgMar w:left="293" w:top="204" w:right="299" w:bottom="1440" w:gutter="0" w:footer="0" w:header="0"/>
          <w:type w:val="continuous"/>
        </w:sectPr>
      </w:pPr>
    </w:p>
    <w:p>
      <w:pPr>
        <w:ind w:left="1487"/>
        <w:spacing w:after="0"/>
        <w:rPr>
          <w:sz w:val="20"/>
          <w:szCs w:val="20"/>
          <w:color w:val="auto"/>
        </w:rPr>
      </w:pPr>
      <w:r>
        <w:rPr>
          <w:rFonts w:ascii="Arial" w:cs="Arial" w:eastAsia="Arial" w:hAnsi="Arial"/>
          <w:sz w:val="10"/>
          <w:szCs w:val="10"/>
          <w:b w:val="1"/>
          <w:bCs w:val="1"/>
          <w:color w:val="auto"/>
        </w:rPr>
        <w:t>9715 Key West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Rockville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MD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20850</w:t>
      </w:r>
    </w:p>
    <w:p>
      <w:pPr>
        <w:spacing w:after="0" w:line="34" w:lineRule="exact"/>
        <w:rPr>
          <w:sz w:val="24"/>
          <w:szCs w:val="24"/>
          <w:color w:val="auto"/>
        </w:rPr>
      </w:pPr>
    </w:p>
    <w:p>
      <w:pPr>
        <w:sectPr>
          <w:pgSz w:w="11900" w:h="16838" w:orient="portrait"/>
          <w:cols w:equalWidth="0" w:num="4">
            <w:col w:w="3887" w:space="720"/>
            <w:col w:w="1000" w:space="720"/>
            <w:col w:w="2040" w:space="720"/>
            <w:col w:w="2220"/>
          </w:cols>
          <w:pgMar w:left="293" w:top="204" w:right="299" w:bottom="1440" w:gutter="0" w:footer="0" w:header="0"/>
          <w:type w:val="continuous"/>
        </w:sectPr>
      </w:pPr>
    </w:p>
    <w:p>
      <w:pPr>
        <w:ind w:left="1127"/>
        <w:spacing w:after="0"/>
        <w:rPr>
          <w:sz w:val="20"/>
          <w:szCs w:val="20"/>
          <w:color w:val="auto"/>
        </w:rPr>
      </w:pPr>
      <w:r>
        <w:rPr>
          <w:rFonts w:ascii="Arial" w:cs="Arial" w:eastAsia="Arial" w:hAnsi="Arial"/>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(Zip Code)</w:t>
      </w:r>
    </w:p>
    <w:p>
      <w:pPr>
        <w:spacing w:after="0" w:line="85" w:lineRule="exact"/>
        <w:rPr>
          <w:sz w:val="24"/>
          <w:szCs w:val="24"/>
          <w:color w:val="auto"/>
        </w:rPr>
      </w:pPr>
    </w:p>
    <w:p>
      <w:pPr>
        <w:sectPr>
          <w:pgSz w:w="11900" w:h="16838" w:orient="portrait"/>
          <w:cols w:equalWidth="0" w:num="2">
            <w:col w:w="8247" w:space="720"/>
            <w:col w:w="2340"/>
          </w:cols>
          <w:pgMar w:left="293" w:top="204" w:right="299" w:bottom="1440" w:gutter="0" w:footer="0" w:header="0"/>
          <w:type w:val="continuous"/>
        </w:sectPr>
      </w:pPr>
    </w:p>
    <w:p>
      <w:pPr>
        <w:jc w:val="center"/>
        <w:ind w:right="-6"/>
        <w:spacing w:after="0"/>
        <w:rPr>
          <w:sz w:val="20"/>
          <w:szCs w:val="20"/>
          <w:color w:val="auto"/>
        </w:rPr>
      </w:pPr>
      <w:r>
        <w:rPr>
          <w:rFonts w:ascii="Arial" w:cs="Arial" w:eastAsia="Arial" w:hAnsi="Arial"/>
          <w:sz w:val="12"/>
          <w:szCs w:val="12"/>
          <w:b w:val="1"/>
          <w:bCs w:val="1"/>
          <w:color w:val="auto"/>
        </w:rPr>
        <w:t>(301) 838-2500</w:t>
      </w:r>
    </w:p>
    <w:p>
      <w:pPr>
        <w:spacing w:after="0" w:line="21" w:lineRule="exact"/>
        <w:rPr>
          <w:sz w:val="24"/>
          <w:szCs w:val="24"/>
          <w:color w:val="auto"/>
        </w:rPr>
      </w:pPr>
    </w:p>
    <w:p>
      <w:pPr>
        <w:jc w:val="center"/>
        <w:ind w:right="-6"/>
        <w:spacing w:after="0"/>
        <w:rPr>
          <w:sz w:val="20"/>
          <w:szCs w:val="20"/>
          <w:color w:val="auto"/>
        </w:rPr>
      </w:pPr>
      <w:r>
        <w:rPr>
          <w:rFonts w:ascii="Arial" w:cs="Arial" w:eastAsia="Arial" w:hAnsi="Arial"/>
          <w:sz w:val="12"/>
          <w:szCs w:val="12"/>
          <w:color w:val="auto"/>
        </w:rPr>
        <w:t>(Registrant’s telephone number, including area code)</w:t>
      </w:r>
    </w:p>
    <w:p>
      <w:pPr>
        <w:spacing w:after="0" w:line="37" w:lineRule="exact"/>
        <w:rPr>
          <w:sz w:val="24"/>
          <w:szCs w:val="24"/>
          <w:color w:val="auto"/>
        </w:rPr>
      </w:pPr>
    </w:p>
    <w:p>
      <w:pPr>
        <w:ind w:left="7" w:right="360" w:firstLine="220"/>
        <w:spacing w:after="0" w:line="15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42" w:lineRule="exact"/>
        <w:rPr>
          <w:sz w:val="24"/>
          <w:szCs w:val="24"/>
          <w:color w:val="auto"/>
        </w:rPr>
      </w:pPr>
    </w:p>
    <w:p>
      <w:pPr>
        <w:ind w:left="7" w:right="200" w:firstLine="220"/>
        <w:spacing w:after="0" w:line="282" w:lineRule="auto"/>
        <w:rPr>
          <w:sz w:val="20"/>
          <w:szCs w:val="20"/>
          <w:color w:val="auto"/>
        </w:rPr>
      </w:pPr>
      <w:r>
        <w:rPr>
          <w:rFonts w:ascii="Arial" w:cs="Arial" w:eastAsia="Arial" w:hAnsi="Arial"/>
          <w:sz w:val="12"/>
          <w:szCs w:val="12"/>
          <w:color w:val="auto"/>
        </w:rPr>
        <w:t>Indicate by check mark whether the registrant has submitted electronically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7" w:hanging="147"/>
        <w:spacing w:after="0" w:line="138" w:lineRule="exact"/>
        <w:tabs>
          <w:tab w:leader="none" w:pos="147"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 xml:space="preserve">Yes No </w:t>
      </w:r>
      <w:r>
        <w:rPr>
          <w:rFonts w:ascii="MS PGothic" w:cs="MS PGothic" w:eastAsia="MS PGothic" w:hAnsi="MS PGothic"/>
          <w:sz w:val="12"/>
          <w:szCs w:val="12"/>
          <w:color w:val="auto"/>
        </w:rPr>
        <w:t>☐</w:t>
      </w:r>
    </w:p>
    <w:p>
      <w:pPr>
        <w:spacing w:after="0" w:line="95" w:lineRule="exact"/>
        <w:rPr>
          <w:sz w:val="24"/>
          <w:szCs w:val="24"/>
          <w:color w:val="auto"/>
        </w:rPr>
      </w:pPr>
    </w:p>
    <w:p>
      <w:pPr>
        <w:ind w:left="7" w:right="40" w:firstLine="220"/>
        <w:spacing w:after="0" w:line="26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67" w:type="dxa"/>
        <w:tblCellMar>
          <w:top w:w="0" w:type="dxa"/>
          <w:left w:w="0" w:type="dxa"/>
          <w:bottom w:w="0" w:type="dxa"/>
          <w:right w:w="0" w:type="dxa"/>
        </w:tblCellMar>
      </w:tblPr>
      <w:tr>
        <w:trPr>
          <w:trHeight w:val="189"/>
        </w:trPr>
        <w:tc>
          <w:tcPr>
            <w:tcW w:w="1740" w:type="dxa"/>
            <w:vAlign w:val="bottom"/>
          </w:tcPr>
          <w:p>
            <w:pPr>
              <w:jc w:val="center"/>
              <w:ind w:right="579"/>
              <w:spacing w:after="0"/>
              <w:rPr>
                <w:sz w:val="20"/>
                <w:szCs w:val="20"/>
                <w:color w:val="auto"/>
              </w:rPr>
            </w:pPr>
            <w:r>
              <w:rPr>
                <w:rFonts w:ascii="Arial" w:cs="Arial" w:eastAsia="Arial" w:hAnsi="Arial"/>
                <w:sz w:val="12"/>
                <w:szCs w:val="12"/>
                <w:color w:val="auto"/>
                <w:w w:val="92"/>
              </w:rPr>
              <w:t>Large accelerated filer</w:t>
            </w:r>
          </w:p>
        </w:tc>
        <w:tc>
          <w:tcPr>
            <w:tcW w:w="1620" w:type="dxa"/>
            <w:vAlign w:val="bottom"/>
          </w:tcPr>
          <w:p>
            <w:pPr>
              <w:ind w:left="64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jc w:val="center"/>
              <w:ind w:right="179"/>
              <w:spacing w:after="0"/>
              <w:rPr>
                <w:sz w:val="20"/>
                <w:szCs w:val="20"/>
                <w:color w:val="auto"/>
              </w:rPr>
            </w:pPr>
            <w:r>
              <w:rPr>
                <w:rFonts w:ascii="Arial" w:cs="Arial" w:eastAsia="Arial" w:hAnsi="Arial"/>
                <w:sz w:val="12"/>
                <w:szCs w:val="12"/>
                <w:color w:val="auto"/>
                <w:w w:val="95"/>
              </w:rPr>
              <w:t>Accelerated filer</w:t>
            </w:r>
          </w:p>
        </w:tc>
        <w:tc>
          <w:tcPr>
            <w:tcW w:w="1200" w:type="dxa"/>
            <w:vAlign w:val="bottom"/>
          </w:tcPr>
          <w:p>
            <w:pPr>
              <w:ind w:left="1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740" w:type="dxa"/>
            <w:vAlign w:val="bottom"/>
          </w:tcPr>
          <w:p>
            <w:pPr>
              <w:jc w:val="center"/>
              <w:ind w:right="579"/>
              <w:spacing w:after="0"/>
              <w:rPr>
                <w:sz w:val="20"/>
                <w:szCs w:val="20"/>
                <w:color w:val="auto"/>
              </w:rPr>
            </w:pPr>
            <w:r>
              <w:rPr>
                <w:rFonts w:ascii="Arial" w:cs="Arial" w:eastAsia="Arial" w:hAnsi="Arial"/>
                <w:sz w:val="12"/>
                <w:szCs w:val="12"/>
                <w:color w:val="auto"/>
                <w:w w:val="92"/>
              </w:rPr>
              <w:t>Non-accelerated filer</w:t>
            </w:r>
          </w:p>
        </w:tc>
        <w:tc>
          <w:tcPr>
            <w:tcW w:w="1620" w:type="dxa"/>
            <w:vAlign w:val="bottom"/>
          </w:tcPr>
          <w:p>
            <w:pPr>
              <w:ind w:left="64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jc w:val="center"/>
              <w:ind w:right="179"/>
              <w:spacing w:after="0"/>
              <w:rPr>
                <w:sz w:val="20"/>
                <w:szCs w:val="20"/>
                <w:color w:val="auto"/>
              </w:rPr>
            </w:pPr>
            <w:r>
              <w:rPr>
                <w:rFonts w:ascii="Arial" w:cs="Arial" w:eastAsia="Arial" w:hAnsi="Arial"/>
                <w:sz w:val="12"/>
                <w:szCs w:val="12"/>
                <w:color w:val="auto"/>
                <w:w w:val="93"/>
              </w:rPr>
              <w:t>Smaller reporting company</w:t>
            </w:r>
          </w:p>
        </w:tc>
        <w:tc>
          <w:tcPr>
            <w:tcW w:w="1200" w:type="dxa"/>
            <w:vAlign w:val="bottom"/>
          </w:tcPr>
          <w:p>
            <w:pPr>
              <w:ind w:left="1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1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300" w:type="dxa"/>
            <w:vAlign w:val="bottom"/>
          </w:tcPr>
          <w:p>
            <w:pPr>
              <w:jc w:val="center"/>
              <w:ind w:right="159"/>
              <w:spacing w:after="0"/>
              <w:rPr>
                <w:sz w:val="20"/>
                <w:szCs w:val="20"/>
                <w:color w:val="auto"/>
              </w:rPr>
            </w:pPr>
            <w:r>
              <w:rPr>
                <w:rFonts w:ascii="Arial" w:cs="Arial" w:eastAsia="Arial" w:hAnsi="Arial"/>
                <w:sz w:val="12"/>
                <w:szCs w:val="12"/>
                <w:color w:val="auto"/>
                <w:w w:val="92"/>
              </w:rPr>
              <w:t>Emerging growth company</w:t>
            </w:r>
          </w:p>
        </w:tc>
        <w:tc>
          <w:tcPr>
            <w:tcW w:w="1200" w:type="dxa"/>
            <w:vAlign w:val="bottom"/>
          </w:tcPr>
          <w:p>
            <w:pPr>
              <w:ind w:left="11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97" w:lineRule="exact"/>
        <w:rPr>
          <w:sz w:val="24"/>
          <w:szCs w:val="24"/>
          <w:color w:val="auto"/>
        </w:rPr>
      </w:pPr>
    </w:p>
    <w:p>
      <w:pPr>
        <w:ind w:left="7" w:right="520" w:firstLine="220"/>
        <w:spacing w:after="0" w:line="283"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 w:lineRule="exact"/>
        <w:rPr>
          <w:sz w:val="24"/>
          <w:szCs w:val="24"/>
          <w:color w:val="auto"/>
        </w:rPr>
      </w:pPr>
    </w:p>
    <w:tbl>
      <w:tblPr>
        <w:tblLayout w:type="fixed"/>
        <w:tblInd w:w="7" w:type="dxa"/>
        <w:tblCellMar>
          <w:top w:w="0" w:type="dxa"/>
          <w:left w:w="0" w:type="dxa"/>
          <w:bottom w:w="0" w:type="dxa"/>
          <w:right w:w="0" w:type="dxa"/>
        </w:tblCellMar>
      </w:tblPr>
      <w:tr>
        <w:trPr>
          <w:trHeight w:val="191"/>
        </w:trPr>
        <w:tc>
          <w:tcPr>
            <w:tcW w:w="6160" w:type="dxa"/>
            <w:vAlign w:val="bottom"/>
            <w:gridSpan w:val="6"/>
          </w:tcPr>
          <w:p>
            <w:pPr>
              <w:ind w:left="220"/>
              <w:spacing w:after="0" w:line="138" w:lineRule="exact"/>
              <w:rPr>
                <w:sz w:val="20"/>
                <w:szCs w:val="20"/>
                <w:color w:val="auto"/>
              </w:rPr>
            </w:pPr>
            <w:r>
              <w:rPr>
                <w:rFonts w:ascii="Arial" w:cs="Arial" w:eastAsia="Arial" w:hAnsi="Arial"/>
                <w:sz w:val="12"/>
                <w:szCs w:val="12"/>
                <w:color w:val="auto"/>
                <w:w w:val="92"/>
              </w:rPr>
              <w:t xml:space="preserve">Indicate by check mark whether the registrant is a shell company (as defined in Rule 12b-2 of the Exchange Act). </w:t>
            </w:r>
            <w:r>
              <w:rPr>
                <w:rFonts w:ascii="MS PGothic" w:cs="MS PGothic" w:eastAsia="MS PGothic" w:hAnsi="MS PGothic"/>
                <w:sz w:val="12"/>
                <w:szCs w:val="12"/>
                <w:color w:val="auto"/>
                <w:w w:val="92"/>
              </w:rPr>
              <w:t>☐</w:t>
            </w:r>
            <w:r>
              <w:rPr>
                <w:rFonts w:ascii="Arial" w:cs="Arial" w:eastAsia="Arial" w:hAnsi="Arial"/>
                <w:sz w:val="12"/>
                <w:szCs w:val="12"/>
                <w:color w:val="auto"/>
                <w:w w:val="92"/>
              </w:rPr>
              <w:t xml:space="preserve"> Yes</w:t>
            </w:r>
          </w:p>
        </w:tc>
        <w:tc>
          <w:tcPr>
            <w:tcW w:w="1500" w:type="dxa"/>
            <w:vAlign w:val="bottom"/>
            <w:gridSpan w:val="2"/>
          </w:tcPr>
          <w:p>
            <w:pPr>
              <w:ind w:left="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tc>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740" w:type="dxa"/>
            <w:vAlign w:val="bottom"/>
            <w:gridSpan w:val="3"/>
          </w:tcPr>
          <w:p>
            <w:pPr>
              <w:ind w:left="220"/>
              <w:spacing w:after="0"/>
              <w:rPr>
                <w:sz w:val="20"/>
                <w:szCs w:val="20"/>
                <w:color w:val="auto"/>
              </w:rPr>
            </w:pPr>
            <w:r>
              <w:rPr>
                <w:rFonts w:ascii="Arial" w:cs="Arial" w:eastAsia="Arial" w:hAnsi="Arial"/>
                <w:sz w:val="12"/>
                <w:szCs w:val="12"/>
                <w:color w:val="auto"/>
                <w:w w:val="97"/>
              </w:rPr>
              <w:t>Securities registered pursuant to Section 12(b) of the Exchange Act</w:t>
            </w: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3"/>
        </w:trPr>
        <w:tc>
          <w:tcPr>
            <w:tcW w:w="3160" w:type="dxa"/>
            <w:vAlign w:val="bottom"/>
            <w:tcBorders>
              <w:bottom w:val="single" w:sz="8" w:color="auto"/>
            </w:tcBorders>
          </w:tcPr>
          <w:p>
            <w:pPr>
              <w:jc w:val="center"/>
              <w:ind w:left="162"/>
              <w:spacing w:after="0"/>
              <w:rPr>
                <w:sz w:val="20"/>
                <w:szCs w:val="20"/>
                <w:color w:val="auto"/>
              </w:rPr>
            </w:pPr>
            <w:r>
              <w:rPr>
                <w:rFonts w:ascii="Arial" w:cs="Arial" w:eastAsia="Arial" w:hAnsi="Arial"/>
                <w:sz w:val="10"/>
                <w:szCs w:val="10"/>
                <w:b w:val="1"/>
                <w:bCs w:val="1"/>
                <w:color w:val="auto"/>
                <w:w w:val="85"/>
              </w:rPr>
              <w:t>Title of each class</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88"/>
              </w:rPr>
              <w:t>Outstanding at November 1, 2021</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Trading Symbol</w:t>
            </w:r>
          </w:p>
        </w:tc>
        <w:tc>
          <w:tcPr>
            <w:tcW w:w="100" w:type="dxa"/>
            <w:vAlign w:val="bottom"/>
          </w:tcPr>
          <w:p>
            <w:pPr>
              <w:spacing w:after="0"/>
              <w:rPr>
                <w:sz w:val="12"/>
                <w:szCs w:val="12"/>
                <w:color w:val="auto"/>
              </w:rPr>
            </w:pPr>
          </w:p>
        </w:tc>
        <w:tc>
          <w:tcPr>
            <w:tcW w:w="3620" w:type="dxa"/>
            <w:vAlign w:val="bottom"/>
            <w:tcBorders>
              <w:bottom w:val="single" w:sz="8" w:color="auto"/>
            </w:tcBorders>
          </w:tcPr>
          <w:p>
            <w:pPr>
              <w:jc w:val="center"/>
              <w:ind w:left="145"/>
              <w:spacing w:after="0"/>
              <w:rPr>
                <w:sz w:val="20"/>
                <w:szCs w:val="20"/>
                <w:color w:val="auto"/>
              </w:rPr>
            </w:pPr>
            <w:r>
              <w:rPr>
                <w:rFonts w:ascii="Arial" w:cs="Arial" w:eastAsia="Arial" w:hAnsi="Arial"/>
                <w:sz w:val="10"/>
                <w:szCs w:val="10"/>
                <w:b w:val="1"/>
                <w:bCs w:val="1"/>
                <w:color w:val="auto"/>
                <w:w w:val="86"/>
              </w:rPr>
              <w:t>Name of each exchange on which registered</w:t>
            </w:r>
          </w:p>
        </w:tc>
        <w:tc>
          <w:tcPr>
            <w:tcW w:w="20" w:type="dxa"/>
            <w:vAlign w:val="bottom"/>
          </w:tcPr>
          <w:p>
            <w:pPr>
              <w:spacing w:after="0"/>
              <w:rPr>
                <w:sz w:val="12"/>
                <w:szCs w:val="12"/>
                <w:color w:val="auto"/>
              </w:rPr>
            </w:pPr>
          </w:p>
        </w:tc>
      </w:tr>
      <w:tr>
        <w:trPr>
          <w:trHeight w:val="148"/>
        </w:trPr>
        <w:tc>
          <w:tcPr>
            <w:tcW w:w="3740" w:type="dxa"/>
            <w:vAlign w:val="bottom"/>
            <w:gridSpan w:val="3"/>
          </w:tcPr>
          <w:p>
            <w:pPr>
              <w:jc w:val="center"/>
              <w:ind w:right="360"/>
              <w:spacing w:after="0"/>
              <w:rPr>
                <w:sz w:val="20"/>
                <w:szCs w:val="20"/>
                <w:color w:val="auto"/>
              </w:rPr>
            </w:pPr>
            <w:r>
              <w:rPr>
                <w:rFonts w:ascii="Arial" w:cs="Arial" w:eastAsia="Arial" w:hAnsi="Arial"/>
                <w:sz w:val="12"/>
                <w:szCs w:val="12"/>
                <w:color w:val="auto"/>
                <w:w w:val="90"/>
              </w:rPr>
              <w:t>Common Stock, $0.001 par value per share</w:t>
            </w:r>
          </w:p>
        </w:tc>
        <w:tc>
          <w:tcPr>
            <w:tcW w:w="2160" w:type="dxa"/>
            <w:vAlign w:val="bottom"/>
          </w:tcPr>
          <w:p>
            <w:pPr>
              <w:jc w:val="right"/>
              <w:ind w:right="883"/>
              <w:spacing w:after="0"/>
              <w:rPr>
                <w:sz w:val="20"/>
                <w:szCs w:val="20"/>
                <w:color w:val="auto"/>
              </w:rPr>
            </w:pPr>
            <w:r>
              <w:rPr>
                <w:rFonts w:ascii="Arial" w:cs="Arial" w:eastAsia="Arial" w:hAnsi="Arial"/>
                <w:sz w:val="12"/>
                <w:szCs w:val="12"/>
                <w:color w:val="auto"/>
              </w:rPr>
              <w:t>53,180,768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2"/>
                <w:szCs w:val="12"/>
                <w:color w:val="auto"/>
                <w:w w:val="95"/>
              </w:rPr>
              <w:t>SUPN</w:t>
            </w:r>
          </w:p>
        </w:tc>
        <w:tc>
          <w:tcPr>
            <w:tcW w:w="3640" w:type="dxa"/>
            <w:vAlign w:val="bottom"/>
            <w:gridSpan w:val="2"/>
          </w:tcPr>
          <w:p>
            <w:pPr>
              <w:jc w:val="center"/>
              <w:ind w:left="125"/>
              <w:spacing w:after="0"/>
              <w:rPr>
                <w:sz w:val="20"/>
                <w:szCs w:val="20"/>
                <w:color w:val="auto"/>
              </w:rPr>
            </w:pPr>
            <w:r>
              <w:rPr>
                <w:rFonts w:ascii="Arial" w:cs="Arial" w:eastAsia="Arial" w:hAnsi="Arial"/>
                <w:sz w:val="12"/>
                <w:szCs w:val="12"/>
                <w:color w:val="auto"/>
                <w:w w:val="93"/>
              </w:rPr>
              <w:t>The Nasdaq Global Market</w:t>
            </w:r>
          </w:p>
        </w:tc>
      </w:tr>
      <w:tr>
        <w:trPr>
          <w:trHeight w:val="110"/>
        </w:trPr>
        <w:tc>
          <w:tcPr>
            <w:tcW w:w="3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jc w:val="right"/>
              <w:ind w:right="163"/>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
        </w:trPr>
        <w:tc>
          <w:tcPr>
            <w:tcW w:w="31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2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7157720</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7"/>
          </w:cols>
          <w:pgMar w:left="293" w:top="204" w:right="299" w:bottom="1440" w:gutter="0" w:footer="0" w:header="0"/>
          <w:type w:val="continuous"/>
        </w:sectPr>
      </w:pPr>
    </w:p>
    <w:bookmarkStart w:id="1" w:name="page2"/>
    <w:bookmarkEnd w:id="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80" w:type="dxa"/>
            <w:vAlign w:val="bottom"/>
            <w:gridSpan w:val="2"/>
          </w:tcPr>
          <w:p>
            <w:pPr>
              <w:jc w:val="center"/>
              <w:ind w:right="3220"/>
              <w:spacing w:after="0"/>
              <w:rPr>
                <w:sz w:val="20"/>
                <w:szCs w:val="20"/>
                <w:color w:val="auto"/>
              </w:rPr>
            </w:pPr>
            <w:r>
              <w:rPr>
                <w:rFonts w:ascii="Arial" w:cs="Arial" w:eastAsia="Arial" w:hAnsi="Arial"/>
                <w:sz w:val="12"/>
                <w:szCs w:val="12"/>
                <w:b w:val="1"/>
                <w:bCs w:val="1"/>
                <w:color w:val="auto"/>
              </w:rPr>
              <w:t>SUPERNUS PHARMACEUTICALS, INC.</w:t>
            </w:r>
          </w:p>
        </w:tc>
        <w:tc>
          <w:tcPr>
            <w:tcW w:w="860" w:type="dxa"/>
            <w:vAlign w:val="bottom"/>
          </w:tcPr>
          <w:p>
            <w:pPr>
              <w:spacing w:after="0"/>
              <w:rPr>
                <w:sz w:val="12"/>
                <w:szCs w:val="12"/>
                <w:color w:val="auto"/>
              </w:rPr>
            </w:pPr>
          </w:p>
        </w:tc>
      </w:tr>
      <w:tr>
        <w:trPr>
          <w:trHeight w:val="146"/>
        </w:trPr>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80" w:type="dxa"/>
            <w:vAlign w:val="bottom"/>
            <w:gridSpan w:val="2"/>
          </w:tcPr>
          <w:p>
            <w:pPr>
              <w:jc w:val="center"/>
              <w:ind w:right="3200"/>
              <w:spacing w:after="0"/>
              <w:rPr>
                <w:sz w:val="20"/>
                <w:szCs w:val="20"/>
                <w:color w:val="auto"/>
              </w:rPr>
            </w:pPr>
            <w:r>
              <w:rPr>
                <w:rFonts w:ascii="Arial" w:cs="Arial" w:eastAsia="Arial" w:hAnsi="Arial"/>
                <w:sz w:val="12"/>
                <w:szCs w:val="12"/>
                <w:b w:val="1"/>
                <w:bCs w:val="1"/>
                <w:color w:val="auto"/>
              </w:rPr>
              <w:t>FORM 10-Q — QUARTERLY REPORT</w:t>
            </w:r>
          </w:p>
        </w:tc>
        <w:tc>
          <w:tcPr>
            <w:tcW w:w="860" w:type="dxa"/>
            <w:vAlign w:val="bottom"/>
          </w:tcPr>
          <w:p>
            <w:pPr>
              <w:spacing w:after="0"/>
              <w:rPr>
                <w:sz w:val="12"/>
                <w:szCs w:val="12"/>
                <w:color w:val="auto"/>
              </w:rPr>
            </w:pPr>
          </w:p>
        </w:tc>
      </w:tr>
      <w:tr>
        <w:trPr>
          <w:trHeight w:val="159"/>
        </w:trPr>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740" w:type="dxa"/>
            <w:vAlign w:val="bottom"/>
            <w:gridSpan w:val="3"/>
          </w:tcPr>
          <w:p>
            <w:pPr>
              <w:jc w:val="center"/>
              <w:ind w:right="2860"/>
              <w:spacing w:after="0"/>
              <w:rPr>
                <w:sz w:val="20"/>
                <w:szCs w:val="20"/>
                <w:color w:val="auto"/>
              </w:rPr>
            </w:pPr>
            <w:r>
              <w:rPr>
                <w:rFonts w:ascii="Arial" w:cs="Arial" w:eastAsia="Arial" w:hAnsi="Arial"/>
                <w:sz w:val="12"/>
                <w:szCs w:val="12"/>
                <w:b w:val="1"/>
                <w:bCs w:val="1"/>
                <w:color w:val="auto"/>
                <w:w w:val="98"/>
              </w:rPr>
              <w:t>FOR THE QUARTERLY PERIOD ENDED September 30, 2021</w:t>
            </w:r>
          </w:p>
        </w:tc>
        <w:tc>
          <w:tcPr>
            <w:tcW w:w="860" w:type="dxa"/>
            <w:vAlign w:val="bottom"/>
          </w:tcPr>
          <w:p>
            <w:pPr>
              <w:spacing w:after="0"/>
              <w:rPr>
                <w:sz w:val="13"/>
                <w:szCs w:val="13"/>
                <w:color w:val="auto"/>
              </w:rPr>
            </w:pPr>
          </w:p>
        </w:tc>
      </w:tr>
      <w:tr>
        <w:trPr>
          <w:trHeight w:val="138"/>
        </w:trPr>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Page No.</w:t>
            </w:r>
          </w:p>
        </w:tc>
      </w:tr>
      <w:tr>
        <w:trPr>
          <w:trHeight w:val="117"/>
        </w:trPr>
        <w:tc>
          <w:tcPr>
            <w:tcW w:w="2080" w:type="dxa"/>
            <w:vAlign w:val="bottom"/>
            <w:tcBorders>
              <w:bottom w:val="single" w:sz="8" w:color="0000FF"/>
            </w:tcBorders>
            <w:gridSpan w:val="10"/>
          </w:tcPr>
          <w:p>
            <w:pPr>
              <w:spacing w:after="0" w:line="117" w:lineRule="exact"/>
              <w:rPr>
                <w:rFonts w:ascii="Arial" w:cs="Arial" w:eastAsia="Arial" w:hAnsi="Arial"/>
                <w:sz w:val="12"/>
                <w:szCs w:val="12"/>
                <w:color w:val="0000FF"/>
                <w:w w:val="99"/>
              </w:rPr>
            </w:pPr>
            <w:hyperlink w:anchor="page2">
              <w:r>
                <w:rPr>
                  <w:rFonts w:ascii="Arial" w:cs="Arial" w:eastAsia="Arial" w:hAnsi="Arial"/>
                  <w:sz w:val="12"/>
                  <w:szCs w:val="12"/>
                  <w:color w:val="0000FF"/>
                  <w:w w:val="99"/>
                </w:rPr>
                <w:t>PART I — FINANCIAL INFORMATION</w:t>
              </w:r>
            </w:hyperlink>
          </w:p>
        </w:tc>
        <w:tc>
          <w:tcPr>
            <w:tcW w:w="8360" w:type="dxa"/>
            <w:vAlign w:val="bottom"/>
            <w:gridSpan w:val="10"/>
          </w:tcPr>
          <w:p>
            <w:pPr>
              <w:spacing w:after="0"/>
              <w:rPr>
                <w:sz w:val="10"/>
                <w:szCs w:val="10"/>
                <w:color w:val="auto"/>
              </w:rPr>
            </w:pPr>
          </w:p>
        </w:tc>
        <w:tc>
          <w:tcPr>
            <w:tcW w:w="860" w:type="dxa"/>
            <w:vAlign w:val="bottom"/>
          </w:tcPr>
          <w:p>
            <w:pPr>
              <w:spacing w:after="0"/>
              <w:rPr>
                <w:sz w:val="10"/>
                <w:szCs w:val="10"/>
                <w:color w:val="auto"/>
              </w:rPr>
            </w:pPr>
          </w:p>
        </w:tc>
      </w:tr>
      <w:tr>
        <w:trPr>
          <w:trHeight w:val="162"/>
        </w:trPr>
        <w:tc>
          <w:tcPr>
            <w:tcW w:w="360" w:type="dxa"/>
            <w:vAlign w:val="bottom"/>
          </w:tcPr>
          <w:p>
            <w:pPr>
              <w:spacing w:after="0"/>
              <w:rPr>
                <w:sz w:val="14"/>
                <w:szCs w:val="14"/>
                <w:color w:val="auto"/>
              </w:rPr>
            </w:pPr>
          </w:p>
        </w:tc>
        <w:tc>
          <w:tcPr>
            <w:tcW w:w="10080" w:type="dxa"/>
            <w:vAlign w:val="bottom"/>
            <w:gridSpan w:val="19"/>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Item 1. Unaudited Condensed Consolidated Financial Statements</w:t>
              </w:r>
            </w:hyperlink>
          </w:p>
        </w:tc>
        <w:tc>
          <w:tcPr>
            <w:tcW w:w="860" w:type="dxa"/>
            <w:vAlign w:val="bottom"/>
          </w:tcPr>
          <w:p>
            <w:pPr>
              <w:spacing w:after="0"/>
              <w:rPr>
                <w:sz w:val="14"/>
                <w:szCs w:val="14"/>
                <w:color w:val="auto"/>
              </w:rPr>
            </w:pPr>
          </w:p>
        </w:tc>
      </w:tr>
      <w:tr>
        <w:trPr>
          <w:trHeight w:val="129"/>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tcBorders>
              <w:bottom w:val="single" w:sz="8" w:color="0000FF"/>
            </w:tcBorders>
            <w:gridSpan w:val="10"/>
          </w:tcPr>
          <w:p>
            <w:pPr>
              <w:spacing w:after="0" w:line="129" w:lineRule="exact"/>
              <w:rPr>
                <w:rFonts w:ascii="Arial" w:cs="Arial" w:eastAsia="Arial" w:hAnsi="Arial"/>
                <w:sz w:val="12"/>
                <w:szCs w:val="12"/>
                <w:color w:val="0000FF"/>
                <w:w w:val="89"/>
              </w:rPr>
            </w:pPr>
            <w:hyperlink w:anchor="page3">
              <w:r>
                <w:rPr>
                  <w:rFonts w:ascii="Arial" w:cs="Arial" w:eastAsia="Arial" w:hAnsi="Arial"/>
                  <w:sz w:val="12"/>
                  <w:szCs w:val="12"/>
                  <w:color w:val="0000FF"/>
                  <w:w w:val="89"/>
                </w:rPr>
                <w:t>Condensed Consolidated Balance Sheets</w:t>
              </w:r>
            </w:hyperlink>
          </w:p>
        </w:tc>
        <w:tc>
          <w:tcPr>
            <w:tcW w:w="7920" w:type="dxa"/>
            <w:vAlign w:val="bottom"/>
            <w:gridSpan w:val="8"/>
          </w:tcPr>
          <w:p>
            <w:pPr>
              <w:spacing w:after="0"/>
              <w:rPr>
                <w:sz w:val="11"/>
                <w:szCs w:val="11"/>
                <w:color w:val="auto"/>
              </w:rPr>
            </w:pPr>
          </w:p>
        </w:tc>
        <w:tc>
          <w:tcPr>
            <w:tcW w:w="860" w:type="dxa"/>
            <w:vAlign w:val="bottom"/>
          </w:tcPr>
          <w:p>
            <w:pPr>
              <w:jc w:val="right"/>
              <w:spacing w:after="0" w:line="129" w:lineRule="exact"/>
              <w:rPr>
                <w:rFonts w:ascii="Arial" w:cs="Arial" w:eastAsia="Arial" w:hAnsi="Arial"/>
                <w:sz w:val="12"/>
                <w:szCs w:val="12"/>
                <w:color w:val="1E39C6"/>
              </w:rPr>
            </w:pPr>
            <w:hyperlink w:anchor="page3">
              <w:r>
                <w:rPr>
                  <w:rFonts w:ascii="Arial" w:cs="Arial" w:eastAsia="Arial" w:hAnsi="Arial"/>
                  <w:sz w:val="12"/>
                  <w:szCs w:val="12"/>
                  <w:color w:val="1E39C6"/>
                </w:rPr>
                <w:t>3</w:t>
              </w:r>
            </w:hyperlink>
          </w:p>
        </w:tc>
      </w:tr>
      <w:tr>
        <w:trPr>
          <w:trHeight w:val="136"/>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920" w:type="dxa"/>
            <w:vAlign w:val="bottom"/>
            <w:gridSpan w:val="18"/>
          </w:tcPr>
          <w:p>
            <w:pPr>
              <w:spacing w:after="0" w:line="136" w:lineRule="exact"/>
              <w:rPr>
                <w:rFonts w:ascii="Arial" w:cs="Arial" w:eastAsia="Arial" w:hAnsi="Arial"/>
                <w:sz w:val="12"/>
                <w:szCs w:val="12"/>
                <w:color w:val="0000FF"/>
              </w:rPr>
            </w:pPr>
            <w:hyperlink w:anchor="page3">
              <w:r>
                <w:rPr>
                  <w:rFonts w:ascii="Arial" w:cs="Arial" w:eastAsia="Arial" w:hAnsi="Arial"/>
                  <w:sz w:val="12"/>
                  <w:szCs w:val="12"/>
                  <w:color w:val="0000FF"/>
                </w:rPr>
                <w:t>Condensed Consolidated Statements of Earnings</w:t>
              </w:r>
            </w:hyperlink>
          </w:p>
        </w:tc>
        <w:tc>
          <w:tcPr>
            <w:tcW w:w="860" w:type="dxa"/>
            <w:vAlign w:val="bottom"/>
          </w:tcPr>
          <w:p>
            <w:pPr>
              <w:jc w:val="right"/>
              <w:spacing w:after="0" w:line="136" w:lineRule="exact"/>
              <w:rPr>
                <w:rFonts w:ascii="Arial" w:cs="Arial" w:eastAsia="Arial" w:hAnsi="Arial"/>
                <w:sz w:val="12"/>
                <w:szCs w:val="12"/>
                <w:color w:val="0000FF"/>
              </w:rPr>
            </w:pPr>
            <w:hyperlink w:anchor="page3">
              <w:r>
                <w:rPr>
                  <w:rFonts w:ascii="Arial" w:cs="Arial" w:eastAsia="Arial" w:hAnsi="Arial"/>
                  <w:sz w:val="12"/>
                  <w:szCs w:val="12"/>
                  <w:color w:val="0000FF"/>
                </w:rPr>
                <w:t>4</w:t>
              </w:r>
            </w:hyperlink>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6"/>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920" w:type="dxa"/>
            <w:vAlign w:val="bottom"/>
            <w:gridSpan w:val="18"/>
          </w:tcPr>
          <w:p>
            <w:pPr>
              <w:spacing w:after="0" w:line="136" w:lineRule="exact"/>
              <w:rPr>
                <w:rFonts w:ascii="Arial" w:cs="Arial" w:eastAsia="Arial" w:hAnsi="Arial"/>
                <w:sz w:val="12"/>
                <w:szCs w:val="12"/>
                <w:color w:val="0000FF"/>
              </w:rPr>
            </w:pPr>
            <w:hyperlink w:anchor="page4">
              <w:r>
                <w:rPr>
                  <w:rFonts w:ascii="Arial" w:cs="Arial" w:eastAsia="Arial" w:hAnsi="Arial"/>
                  <w:sz w:val="12"/>
                  <w:szCs w:val="12"/>
                  <w:color w:val="0000FF"/>
                </w:rPr>
                <w:t>Condensed Consolidated Statements of Comprehensive Earnings</w:t>
              </w:r>
            </w:hyperlink>
          </w:p>
        </w:tc>
        <w:tc>
          <w:tcPr>
            <w:tcW w:w="860" w:type="dxa"/>
            <w:vAlign w:val="bottom"/>
          </w:tcPr>
          <w:p>
            <w:pPr>
              <w:jc w:val="right"/>
              <w:spacing w:after="0" w:line="136" w:lineRule="exact"/>
              <w:rPr>
                <w:rFonts w:ascii="Arial" w:cs="Arial" w:eastAsia="Arial" w:hAnsi="Arial"/>
                <w:sz w:val="12"/>
                <w:szCs w:val="12"/>
                <w:color w:val="0000FF"/>
              </w:rPr>
            </w:pPr>
            <w:hyperlink w:anchor="page4">
              <w:r>
                <w:rPr>
                  <w:rFonts w:ascii="Arial" w:cs="Arial" w:eastAsia="Arial" w:hAnsi="Arial"/>
                  <w:sz w:val="12"/>
                  <w:szCs w:val="12"/>
                  <w:color w:val="0000FF"/>
                </w:rPr>
                <w:t>5</w:t>
              </w:r>
            </w:hyperlink>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6"/>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920" w:type="dxa"/>
            <w:vAlign w:val="bottom"/>
            <w:gridSpan w:val="18"/>
          </w:tcPr>
          <w:p>
            <w:pPr>
              <w:spacing w:after="0" w:line="136" w:lineRule="exact"/>
              <w:rPr>
                <w:rFonts w:ascii="Arial" w:cs="Arial" w:eastAsia="Arial" w:hAnsi="Arial"/>
                <w:sz w:val="12"/>
                <w:szCs w:val="12"/>
                <w:color w:val="0000FF"/>
              </w:rPr>
            </w:pPr>
            <w:hyperlink w:anchor="page5">
              <w:r>
                <w:rPr>
                  <w:rFonts w:ascii="Arial" w:cs="Arial" w:eastAsia="Arial" w:hAnsi="Arial"/>
                  <w:sz w:val="12"/>
                  <w:szCs w:val="12"/>
                  <w:color w:val="0000FF"/>
                </w:rPr>
                <w:t>Condensed Consolidated Statements of Changes in Stockholders' Equity</w:t>
              </w:r>
            </w:hyperlink>
          </w:p>
        </w:tc>
        <w:tc>
          <w:tcPr>
            <w:tcW w:w="860" w:type="dxa"/>
            <w:vAlign w:val="bottom"/>
          </w:tcPr>
          <w:p>
            <w:pPr>
              <w:jc w:val="right"/>
              <w:spacing w:after="0" w:line="136" w:lineRule="exact"/>
              <w:rPr>
                <w:rFonts w:ascii="Arial" w:cs="Arial" w:eastAsia="Arial" w:hAnsi="Arial"/>
                <w:sz w:val="12"/>
                <w:szCs w:val="12"/>
                <w:color w:val="0000FF"/>
              </w:rPr>
            </w:pPr>
            <w:hyperlink w:anchor="page5">
              <w:r>
                <w:rPr>
                  <w:rFonts w:ascii="Arial" w:cs="Arial" w:eastAsia="Arial" w:hAnsi="Arial"/>
                  <w:sz w:val="12"/>
                  <w:szCs w:val="12"/>
                  <w:color w:val="0000FF"/>
                </w:rPr>
                <w:t>6</w:t>
              </w:r>
            </w:hyperlink>
          </w:p>
        </w:tc>
      </w:tr>
      <w:tr>
        <w:trPr>
          <w:trHeight w:val="136"/>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40" w:type="dxa"/>
            <w:vAlign w:val="bottom"/>
            <w:tcBorders>
              <w:top w:val="single" w:sz="8" w:color="0000FF"/>
            </w:tcBorders>
            <w:gridSpan w:val="16"/>
          </w:tcPr>
          <w:p>
            <w:pPr>
              <w:spacing w:after="0" w:line="136" w:lineRule="exact"/>
              <w:rPr>
                <w:rFonts w:ascii="Arial" w:cs="Arial" w:eastAsia="Arial" w:hAnsi="Arial"/>
                <w:sz w:val="12"/>
                <w:szCs w:val="12"/>
                <w:color w:val="0000FF"/>
              </w:rPr>
            </w:pPr>
            <w:hyperlink w:anchor="page6">
              <w:r>
                <w:rPr>
                  <w:rFonts w:ascii="Arial" w:cs="Arial" w:eastAsia="Arial" w:hAnsi="Arial"/>
                  <w:sz w:val="12"/>
                  <w:szCs w:val="12"/>
                  <w:color w:val="0000FF"/>
                </w:rPr>
                <w:t>Condensed Consolidated Statements of Cash Flows</w:t>
              </w:r>
            </w:hyperlink>
          </w:p>
        </w:tc>
        <w:tc>
          <w:tcPr>
            <w:tcW w:w="6380" w:type="dxa"/>
            <w:vAlign w:val="bottom"/>
            <w:gridSpan w:val="2"/>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6">
              <w:r>
                <w:rPr>
                  <w:rFonts w:ascii="Arial" w:cs="Arial" w:eastAsia="Arial" w:hAnsi="Arial"/>
                  <w:sz w:val="12"/>
                  <w:szCs w:val="12"/>
                  <w:color w:val="0000FF"/>
                </w:rPr>
                <w:t>7</w:t>
              </w:r>
            </w:hyperlink>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6"/>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20" w:type="dxa"/>
            <w:vAlign w:val="bottom"/>
            <w:tcBorders>
              <w:bottom w:val="single" w:sz="8" w:color="0000FF"/>
            </w:tcBorders>
            <w:gridSpan w:val="13"/>
          </w:tcPr>
          <w:p>
            <w:pPr>
              <w:spacing w:after="0" w:line="136" w:lineRule="exact"/>
              <w:rPr>
                <w:rFonts w:ascii="Arial" w:cs="Arial" w:eastAsia="Arial" w:hAnsi="Arial"/>
                <w:sz w:val="12"/>
                <w:szCs w:val="12"/>
                <w:color w:val="0000FF"/>
                <w:w w:val="90"/>
              </w:rPr>
            </w:pPr>
            <w:hyperlink w:anchor="page7">
              <w:r>
                <w:rPr>
                  <w:rFonts w:ascii="Arial" w:cs="Arial" w:eastAsia="Arial" w:hAnsi="Arial"/>
                  <w:sz w:val="12"/>
                  <w:szCs w:val="12"/>
                  <w:color w:val="0000FF"/>
                  <w:w w:val="90"/>
                </w:rPr>
                <w:t>Notes to Condensed Consolidated Financial Statements</w:t>
              </w:r>
            </w:hyperlink>
          </w:p>
        </w:tc>
        <w:tc>
          <w:tcPr>
            <w:tcW w:w="7200" w:type="dxa"/>
            <w:vAlign w:val="bottom"/>
            <w:gridSpan w:val="5"/>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7">
              <w:r>
                <w:rPr>
                  <w:rFonts w:ascii="Arial" w:cs="Arial" w:eastAsia="Arial" w:hAnsi="Arial"/>
                  <w:sz w:val="12"/>
                  <w:szCs w:val="12"/>
                  <w:color w:val="0000FF"/>
                </w:rPr>
                <w:t>8</w:t>
              </w:r>
            </w:hyperlink>
          </w:p>
        </w:tc>
      </w:tr>
      <w:tr>
        <w:trPr>
          <w:trHeight w:val="136"/>
        </w:trPr>
        <w:tc>
          <w:tcPr>
            <w:tcW w:w="360" w:type="dxa"/>
            <w:vAlign w:val="bottom"/>
          </w:tcPr>
          <w:p>
            <w:pPr>
              <w:spacing w:after="0"/>
              <w:rPr>
                <w:sz w:val="11"/>
                <w:szCs w:val="11"/>
                <w:color w:val="auto"/>
              </w:rPr>
            </w:pPr>
          </w:p>
        </w:tc>
        <w:tc>
          <w:tcPr>
            <w:tcW w:w="4760" w:type="dxa"/>
            <w:vAlign w:val="bottom"/>
            <w:tcBorders>
              <w:bottom w:val="single" w:sz="8" w:color="0000FF"/>
            </w:tcBorders>
            <w:gridSpan w:val="18"/>
          </w:tcPr>
          <w:p>
            <w:pPr>
              <w:spacing w:after="0" w:line="136" w:lineRule="exact"/>
              <w:rPr>
                <w:rFonts w:ascii="Arial" w:cs="Arial" w:eastAsia="Arial" w:hAnsi="Arial"/>
                <w:sz w:val="12"/>
                <w:szCs w:val="12"/>
                <w:color w:val="0000FF"/>
                <w:w w:val="92"/>
              </w:rPr>
            </w:pPr>
            <w:hyperlink w:anchor="page26">
              <w:r>
                <w:rPr>
                  <w:rFonts w:ascii="Arial" w:cs="Arial" w:eastAsia="Arial" w:hAnsi="Arial"/>
                  <w:sz w:val="12"/>
                  <w:szCs w:val="12"/>
                  <w:color w:val="0000FF"/>
                  <w:w w:val="92"/>
                </w:rPr>
                <w:t>Item 2. Management’s Discussion and Analysis of Financial Condition and Results of Operations</w:t>
              </w:r>
            </w:hyperlink>
          </w:p>
        </w:tc>
        <w:tc>
          <w:tcPr>
            <w:tcW w:w="5320" w:type="dxa"/>
            <w:vAlign w:val="bottom"/>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26">
              <w:r>
                <w:rPr>
                  <w:rFonts w:ascii="Arial" w:cs="Arial" w:eastAsia="Arial" w:hAnsi="Arial"/>
                  <w:sz w:val="12"/>
                  <w:szCs w:val="12"/>
                  <w:color w:val="0000FF"/>
                </w:rPr>
                <w:t>27</w:t>
              </w:r>
            </w:hyperlink>
          </w:p>
        </w:tc>
      </w:tr>
      <w:tr>
        <w:trPr>
          <w:trHeight w:val="136"/>
        </w:trPr>
        <w:tc>
          <w:tcPr>
            <w:tcW w:w="360" w:type="dxa"/>
            <w:vAlign w:val="bottom"/>
          </w:tcPr>
          <w:p>
            <w:pPr>
              <w:spacing w:after="0"/>
              <w:rPr>
                <w:sz w:val="11"/>
                <w:szCs w:val="11"/>
                <w:color w:val="auto"/>
              </w:rPr>
            </w:pPr>
          </w:p>
        </w:tc>
        <w:tc>
          <w:tcPr>
            <w:tcW w:w="3300" w:type="dxa"/>
            <w:vAlign w:val="bottom"/>
            <w:tcBorders>
              <w:bottom w:val="single" w:sz="8" w:color="0000FF"/>
            </w:tcBorders>
            <w:gridSpan w:val="15"/>
          </w:tcPr>
          <w:p>
            <w:pPr>
              <w:spacing w:after="0" w:line="136" w:lineRule="exact"/>
              <w:rPr>
                <w:rFonts w:ascii="Arial" w:cs="Arial" w:eastAsia="Arial" w:hAnsi="Arial"/>
                <w:sz w:val="12"/>
                <w:szCs w:val="12"/>
                <w:color w:val="0000FF"/>
                <w:w w:val="92"/>
              </w:rPr>
            </w:pPr>
            <w:hyperlink w:anchor="page38">
              <w:r>
                <w:rPr>
                  <w:rFonts w:ascii="Arial" w:cs="Arial" w:eastAsia="Arial" w:hAnsi="Arial"/>
                  <w:sz w:val="12"/>
                  <w:szCs w:val="12"/>
                  <w:color w:val="0000FF"/>
                  <w:w w:val="92"/>
                </w:rPr>
                <w:t>Item 3. Quantitative and Qualitative Disclosures about Market Risk</w:t>
              </w:r>
            </w:hyperlink>
          </w:p>
        </w:tc>
        <w:tc>
          <w:tcPr>
            <w:tcW w:w="6780" w:type="dxa"/>
            <w:vAlign w:val="bottom"/>
            <w:gridSpan w:val="4"/>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38">
              <w:r>
                <w:rPr>
                  <w:rFonts w:ascii="Arial" w:cs="Arial" w:eastAsia="Arial" w:hAnsi="Arial"/>
                  <w:sz w:val="12"/>
                  <w:szCs w:val="12"/>
                  <w:color w:val="0000FF"/>
                </w:rPr>
                <w:t>38</w:t>
              </w:r>
            </w:hyperlink>
          </w:p>
        </w:tc>
      </w:tr>
      <w:tr>
        <w:trPr>
          <w:trHeight w:val="136"/>
        </w:trPr>
        <w:tc>
          <w:tcPr>
            <w:tcW w:w="360" w:type="dxa"/>
            <w:vAlign w:val="bottom"/>
          </w:tcPr>
          <w:p>
            <w:pPr>
              <w:spacing w:after="0"/>
              <w:rPr>
                <w:sz w:val="11"/>
                <w:szCs w:val="11"/>
                <w:color w:val="auto"/>
              </w:rPr>
            </w:pPr>
          </w:p>
        </w:tc>
        <w:tc>
          <w:tcPr>
            <w:tcW w:w="1580" w:type="dxa"/>
            <w:vAlign w:val="bottom"/>
            <w:tcBorders>
              <w:bottom w:val="single" w:sz="8" w:color="0000FF"/>
            </w:tcBorders>
            <w:gridSpan w:val="8"/>
          </w:tcPr>
          <w:p>
            <w:pPr>
              <w:spacing w:after="0" w:line="136" w:lineRule="exact"/>
              <w:rPr>
                <w:rFonts w:ascii="Arial" w:cs="Arial" w:eastAsia="Arial" w:hAnsi="Arial"/>
                <w:sz w:val="12"/>
                <w:szCs w:val="12"/>
                <w:color w:val="0000FF"/>
                <w:w w:val="90"/>
              </w:rPr>
            </w:pPr>
            <w:hyperlink w:anchor="page39">
              <w:r>
                <w:rPr>
                  <w:rFonts w:ascii="Arial" w:cs="Arial" w:eastAsia="Arial" w:hAnsi="Arial"/>
                  <w:sz w:val="12"/>
                  <w:szCs w:val="12"/>
                  <w:color w:val="0000FF"/>
                  <w:w w:val="90"/>
                </w:rPr>
                <w:t>Item 4. Controls and Procedures</w:t>
              </w:r>
            </w:hyperlink>
          </w:p>
        </w:tc>
        <w:tc>
          <w:tcPr>
            <w:tcW w:w="8500" w:type="dxa"/>
            <w:vAlign w:val="bottom"/>
            <w:gridSpan w:val="11"/>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39">
              <w:r>
                <w:rPr>
                  <w:rFonts w:ascii="Arial" w:cs="Arial" w:eastAsia="Arial" w:hAnsi="Arial"/>
                  <w:sz w:val="12"/>
                  <w:szCs w:val="12"/>
                  <w:color w:val="0000FF"/>
                </w:rPr>
                <w:t>39</w:t>
              </w:r>
            </w:hyperlink>
          </w:p>
        </w:tc>
      </w:tr>
      <w:tr>
        <w:trPr>
          <w:trHeight w:val="136"/>
        </w:trPr>
        <w:tc>
          <w:tcPr>
            <w:tcW w:w="10440" w:type="dxa"/>
            <w:vAlign w:val="bottom"/>
            <w:gridSpan w:val="20"/>
          </w:tcPr>
          <w:p>
            <w:pPr>
              <w:spacing w:after="0" w:line="136" w:lineRule="exact"/>
              <w:rPr>
                <w:rFonts w:ascii="Arial" w:cs="Arial" w:eastAsia="Arial" w:hAnsi="Arial"/>
                <w:sz w:val="12"/>
                <w:szCs w:val="12"/>
                <w:color w:val="0000FF"/>
              </w:rPr>
            </w:pPr>
            <w:hyperlink w:anchor="page39">
              <w:r>
                <w:rPr>
                  <w:rFonts w:ascii="Arial" w:cs="Arial" w:eastAsia="Arial" w:hAnsi="Arial"/>
                  <w:sz w:val="12"/>
                  <w:szCs w:val="12"/>
                  <w:color w:val="0000FF"/>
                </w:rPr>
                <w:t>PART II — OTHER INFORMATION</w:t>
              </w:r>
            </w:hyperlink>
          </w:p>
        </w:tc>
        <w:tc>
          <w:tcPr>
            <w:tcW w:w="860" w:type="dxa"/>
            <w:vAlign w:val="bottom"/>
          </w:tcPr>
          <w:p>
            <w:pPr>
              <w:spacing w:after="0"/>
              <w:rPr>
                <w:sz w:val="11"/>
                <w:szCs w:val="11"/>
                <w:color w:val="auto"/>
              </w:rPr>
            </w:pPr>
          </w:p>
        </w:tc>
      </w:tr>
      <w:tr>
        <w:trPr>
          <w:trHeight w:val="136"/>
        </w:trPr>
        <w:tc>
          <w:tcPr>
            <w:tcW w:w="36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gridSpan w:val="7"/>
          </w:tcPr>
          <w:p>
            <w:pPr>
              <w:spacing w:after="0" w:line="136" w:lineRule="exact"/>
              <w:rPr>
                <w:rFonts w:ascii="Arial" w:cs="Arial" w:eastAsia="Arial" w:hAnsi="Arial"/>
                <w:sz w:val="12"/>
                <w:szCs w:val="12"/>
                <w:color w:val="0000FF"/>
              </w:rPr>
            </w:pPr>
            <w:hyperlink w:anchor="page40">
              <w:r>
                <w:rPr>
                  <w:rFonts w:ascii="Arial" w:cs="Arial" w:eastAsia="Arial" w:hAnsi="Arial"/>
                  <w:sz w:val="12"/>
                  <w:szCs w:val="12"/>
                  <w:color w:val="0000FF"/>
                </w:rPr>
                <w:t>Item 1. Legal Proceedings</w:t>
              </w:r>
            </w:hyperlink>
          </w:p>
        </w:tc>
        <w:tc>
          <w:tcPr>
            <w:tcW w:w="8580" w:type="dxa"/>
            <w:vAlign w:val="bottom"/>
            <w:gridSpan w:val="12"/>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0">
              <w:r>
                <w:rPr>
                  <w:rFonts w:ascii="Arial" w:cs="Arial" w:eastAsia="Arial" w:hAnsi="Arial"/>
                  <w:sz w:val="12"/>
                  <w:szCs w:val="12"/>
                  <w:color w:val="0000FF"/>
                </w:rPr>
                <w:t>40</w:t>
              </w:r>
            </w:hyperlink>
          </w:p>
        </w:tc>
      </w:tr>
      <w:tr>
        <w:trPr>
          <w:trHeight w:val="136"/>
        </w:trPr>
        <w:tc>
          <w:tcPr>
            <w:tcW w:w="360" w:type="dxa"/>
            <w:vAlign w:val="bottom"/>
          </w:tcPr>
          <w:p>
            <w:pPr>
              <w:spacing w:after="0"/>
              <w:rPr>
                <w:sz w:val="11"/>
                <w:szCs w:val="11"/>
                <w:color w:val="auto"/>
              </w:rPr>
            </w:pPr>
          </w:p>
        </w:tc>
        <w:tc>
          <w:tcPr>
            <w:tcW w:w="1080" w:type="dxa"/>
            <w:vAlign w:val="bottom"/>
            <w:tcBorders>
              <w:top w:val="single" w:sz="8" w:color="0000FF"/>
              <w:bottom w:val="single" w:sz="8" w:color="0000FF"/>
            </w:tcBorders>
            <w:gridSpan w:val="4"/>
          </w:tcPr>
          <w:p>
            <w:pPr>
              <w:spacing w:after="0" w:line="136" w:lineRule="exact"/>
              <w:rPr>
                <w:rFonts w:ascii="Arial" w:cs="Arial" w:eastAsia="Arial" w:hAnsi="Arial"/>
                <w:sz w:val="12"/>
                <w:szCs w:val="12"/>
                <w:color w:val="0000FF"/>
                <w:w w:val="92"/>
              </w:rPr>
            </w:pPr>
            <w:hyperlink w:anchor="page42">
              <w:r>
                <w:rPr>
                  <w:rFonts w:ascii="Arial" w:cs="Arial" w:eastAsia="Arial" w:hAnsi="Arial"/>
                  <w:sz w:val="12"/>
                  <w:szCs w:val="12"/>
                  <w:color w:val="0000FF"/>
                  <w:w w:val="92"/>
                </w:rPr>
                <w:t>Item 1A. Risk Factors</w:t>
              </w:r>
            </w:hyperlink>
          </w:p>
        </w:tc>
        <w:tc>
          <w:tcPr>
            <w:tcW w:w="200" w:type="dxa"/>
            <w:vAlign w:val="bottom"/>
            <w:tcBorders>
              <w:top w:val="single" w:sz="8" w:color="0000FF"/>
            </w:tcBorders>
            <w:gridSpan w:val="2"/>
          </w:tcPr>
          <w:p>
            <w:pPr>
              <w:spacing w:after="0"/>
              <w:rPr>
                <w:sz w:val="11"/>
                <w:szCs w:val="11"/>
                <w:color w:val="auto"/>
              </w:rPr>
            </w:pPr>
          </w:p>
        </w:tc>
        <w:tc>
          <w:tcPr>
            <w:tcW w:w="8800" w:type="dxa"/>
            <w:vAlign w:val="bottom"/>
            <w:gridSpan w:val="13"/>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2">
              <w:r>
                <w:rPr>
                  <w:rFonts w:ascii="Arial" w:cs="Arial" w:eastAsia="Arial" w:hAnsi="Arial"/>
                  <w:sz w:val="12"/>
                  <w:szCs w:val="12"/>
                  <w:color w:val="0000FF"/>
                </w:rPr>
                <w:t>42</w:t>
              </w:r>
            </w:hyperlink>
          </w:p>
        </w:tc>
      </w:tr>
      <w:tr>
        <w:trPr>
          <w:trHeight w:val="136"/>
        </w:trPr>
        <w:tc>
          <w:tcPr>
            <w:tcW w:w="360" w:type="dxa"/>
            <w:vAlign w:val="bottom"/>
          </w:tcPr>
          <w:p>
            <w:pPr>
              <w:spacing w:after="0"/>
              <w:rPr>
                <w:sz w:val="11"/>
                <w:szCs w:val="11"/>
                <w:color w:val="auto"/>
              </w:rPr>
            </w:pPr>
          </w:p>
        </w:tc>
        <w:tc>
          <w:tcPr>
            <w:tcW w:w="10080" w:type="dxa"/>
            <w:vAlign w:val="bottom"/>
            <w:gridSpan w:val="19"/>
          </w:tcPr>
          <w:p>
            <w:pPr>
              <w:spacing w:after="0" w:line="136" w:lineRule="exact"/>
              <w:rPr>
                <w:rFonts w:ascii="Arial" w:cs="Arial" w:eastAsia="Arial" w:hAnsi="Arial"/>
                <w:sz w:val="12"/>
                <w:szCs w:val="12"/>
                <w:color w:val="0000FF"/>
              </w:rPr>
            </w:pPr>
            <w:hyperlink w:anchor="page42">
              <w:r>
                <w:rPr>
                  <w:rFonts w:ascii="Arial" w:cs="Arial" w:eastAsia="Arial" w:hAnsi="Arial"/>
                  <w:sz w:val="12"/>
                  <w:szCs w:val="12"/>
                  <w:color w:val="0000FF"/>
                </w:rPr>
                <w:t>Item 2. Unregistered Sales of Equity Securities and Use of Proceeds</w:t>
              </w:r>
            </w:hyperlink>
          </w:p>
        </w:tc>
        <w:tc>
          <w:tcPr>
            <w:tcW w:w="860" w:type="dxa"/>
            <w:vAlign w:val="bottom"/>
          </w:tcPr>
          <w:p>
            <w:pPr>
              <w:jc w:val="right"/>
              <w:spacing w:after="0" w:line="136" w:lineRule="exact"/>
              <w:rPr>
                <w:rFonts w:ascii="Arial" w:cs="Arial" w:eastAsia="Arial" w:hAnsi="Arial"/>
                <w:sz w:val="12"/>
                <w:szCs w:val="12"/>
                <w:color w:val="0000FF"/>
              </w:rPr>
            </w:pPr>
            <w:hyperlink w:anchor="page42">
              <w:r>
                <w:rPr>
                  <w:rFonts w:ascii="Arial" w:cs="Arial" w:eastAsia="Arial" w:hAnsi="Arial"/>
                  <w:sz w:val="12"/>
                  <w:szCs w:val="12"/>
                  <w:color w:val="0000FF"/>
                </w:rPr>
                <w:t>42</w:t>
              </w:r>
            </w:hyperlink>
          </w:p>
        </w:tc>
      </w:tr>
      <w:tr>
        <w:trPr>
          <w:trHeight w:val="136"/>
        </w:trPr>
        <w:tc>
          <w:tcPr>
            <w:tcW w:w="360" w:type="dxa"/>
            <w:vAlign w:val="bottom"/>
          </w:tcPr>
          <w:p>
            <w:pPr>
              <w:spacing w:after="0"/>
              <w:rPr>
                <w:sz w:val="11"/>
                <w:szCs w:val="11"/>
                <w:color w:val="auto"/>
              </w:rPr>
            </w:pPr>
          </w:p>
        </w:tc>
        <w:tc>
          <w:tcPr>
            <w:tcW w:w="1960" w:type="dxa"/>
            <w:vAlign w:val="bottom"/>
            <w:tcBorders>
              <w:top w:val="single" w:sz="8" w:color="0000FF"/>
              <w:bottom w:val="single" w:sz="8" w:color="0000FF"/>
            </w:tcBorders>
            <w:gridSpan w:val="10"/>
          </w:tcPr>
          <w:p>
            <w:pPr>
              <w:spacing w:after="0" w:line="136" w:lineRule="exact"/>
              <w:rPr>
                <w:rFonts w:ascii="Arial" w:cs="Arial" w:eastAsia="Arial" w:hAnsi="Arial"/>
                <w:sz w:val="12"/>
                <w:szCs w:val="12"/>
                <w:color w:val="0000FF"/>
                <w:w w:val="92"/>
              </w:rPr>
            </w:pPr>
            <w:hyperlink w:anchor="page42">
              <w:r>
                <w:rPr>
                  <w:rFonts w:ascii="Arial" w:cs="Arial" w:eastAsia="Arial" w:hAnsi="Arial"/>
                  <w:sz w:val="12"/>
                  <w:szCs w:val="12"/>
                  <w:color w:val="0000FF"/>
                  <w:w w:val="92"/>
                </w:rPr>
                <w:t>Item 3. Defaults Upon Senior Securities</w:t>
              </w:r>
            </w:hyperlink>
          </w:p>
        </w:tc>
        <w:tc>
          <w:tcPr>
            <w:tcW w:w="1380" w:type="dxa"/>
            <w:vAlign w:val="bottom"/>
            <w:tcBorders>
              <w:top w:val="single" w:sz="8" w:color="0000FF"/>
            </w:tcBorders>
            <w:gridSpan w:val="6"/>
          </w:tcPr>
          <w:p>
            <w:pPr>
              <w:spacing w:after="0"/>
              <w:rPr>
                <w:sz w:val="11"/>
                <w:szCs w:val="11"/>
                <w:color w:val="auto"/>
              </w:rPr>
            </w:pPr>
          </w:p>
        </w:tc>
        <w:tc>
          <w:tcPr>
            <w:tcW w:w="6740" w:type="dxa"/>
            <w:vAlign w:val="bottom"/>
            <w:gridSpan w:val="3"/>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2">
              <w:r>
                <w:rPr>
                  <w:rFonts w:ascii="Arial" w:cs="Arial" w:eastAsia="Arial" w:hAnsi="Arial"/>
                  <w:sz w:val="12"/>
                  <w:szCs w:val="12"/>
                  <w:color w:val="0000FF"/>
                </w:rPr>
                <w:t>43</w:t>
              </w:r>
            </w:hyperlink>
          </w:p>
        </w:tc>
      </w:tr>
      <w:tr>
        <w:trPr>
          <w:trHeight w:val="136"/>
        </w:trPr>
        <w:tc>
          <w:tcPr>
            <w:tcW w:w="360" w:type="dxa"/>
            <w:vAlign w:val="bottom"/>
          </w:tcPr>
          <w:p>
            <w:pPr>
              <w:spacing w:after="0"/>
              <w:rPr>
                <w:sz w:val="11"/>
                <w:szCs w:val="11"/>
                <w:color w:val="auto"/>
              </w:rPr>
            </w:pPr>
          </w:p>
        </w:tc>
        <w:tc>
          <w:tcPr>
            <w:tcW w:w="1580" w:type="dxa"/>
            <w:vAlign w:val="bottom"/>
            <w:tcBorders>
              <w:bottom w:val="single" w:sz="8" w:color="0000FF"/>
            </w:tcBorders>
            <w:gridSpan w:val="8"/>
          </w:tcPr>
          <w:p>
            <w:pPr>
              <w:spacing w:after="0" w:line="136" w:lineRule="exact"/>
              <w:rPr>
                <w:rFonts w:ascii="Arial" w:cs="Arial" w:eastAsia="Arial" w:hAnsi="Arial"/>
                <w:sz w:val="12"/>
                <w:szCs w:val="12"/>
                <w:color w:val="0000FF"/>
                <w:w w:val="92"/>
              </w:rPr>
            </w:pPr>
            <w:hyperlink w:anchor="page43">
              <w:r>
                <w:rPr>
                  <w:rFonts w:ascii="Arial" w:cs="Arial" w:eastAsia="Arial" w:hAnsi="Arial"/>
                  <w:sz w:val="12"/>
                  <w:szCs w:val="12"/>
                  <w:color w:val="0000FF"/>
                  <w:w w:val="92"/>
                </w:rPr>
                <w:t>Item 4. Mine Safety Disclosures</w:t>
              </w:r>
            </w:hyperlink>
          </w:p>
        </w:tc>
        <w:tc>
          <w:tcPr>
            <w:tcW w:w="8500" w:type="dxa"/>
            <w:vAlign w:val="bottom"/>
            <w:gridSpan w:val="11"/>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3">
              <w:r>
                <w:rPr>
                  <w:rFonts w:ascii="Arial" w:cs="Arial" w:eastAsia="Arial" w:hAnsi="Arial"/>
                  <w:sz w:val="12"/>
                  <w:szCs w:val="12"/>
                  <w:color w:val="0000FF"/>
                </w:rPr>
                <w:t>43</w:t>
              </w:r>
            </w:hyperlink>
          </w:p>
        </w:tc>
      </w:tr>
      <w:tr>
        <w:trPr>
          <w:trHeight w:val="136"/>
        </w:trPr>
        <w:tc>
          <w:tcPr>
            <w:tcW w:w="360" w:type="dxa"/>
            <w:vAlign w:val="bottom"/>
          </w:tcPr>
          <w:p>
            <w:pPr>
              <w:spacing w:after="0"/>
              <w:rPr>
                <w:sz w:val="11"/>
                <w:szCs w:val="11"/>
                <w:color w:val="auto"/>
              </w:rPr>
            </w:pPr>
          </w:p>
        </w:tc>
        <w:tc>
          <w:tcPr>
            <w:tcW w:w="10080" w:type="dxa"/>
            <w:vAlign w:val="bottom"/>
            <w:gridSpan w:val="19"/>
          </w:tcPr>
          <w:p>
            <w:pPr>
              <w:spacing w:after="0" w:line="136" w:lineRule="exact"/>
              <w:rPr>
                <w:rFonts w:ascii="Arial" w:cs="Arial" w:eastAsia="Arial" w:hAnsi="Arial"/>
                <w:sz w:val="12"/>
                <w:szCs w:val="12"/>
                <w:color w:val="0000FF"/>
              </w:rPr>
            </w:pPr>
            <w:hyperlink w:anchor="page43">
              <w:r>
                <w:rPr>
                  <w:rFonts w:ascii="Arial" w:cs="Arial" w:eastAsia="Arial" w:hAnsi="Arial"/>
                  <w:sz w:val="12"/>
                  <w:szCs w:val="12"/>
                  <w:color w:val="0000FF"/>
                </w:rPr>
                <w:t>Item 5. Other Information</w:t>
              </w:r>
            </w:hyperlink>
          </w:p>
        </w:tc>
        <w:tc>
          <w:tcPr>
            <w:tcW w:w="860" w:type="dxa"/>
            <w:vAlign w:val="bottom"/>
          </w:tcPr>
          <w:p>
            <w:pPr>
              <w:jc w:val="right"/>
              <w:spacing w:after="0" w:line="136" w:lineRule="exact"/>
              <w:rPr>
                <w:rFonts w:ascii="Arial" w:cs="Arial" w:eastAsia="Arial" w:hAnsi="Arial"/>
                <w:sz w:val="12"/>
                <w:szCs w:val="12"/>
                <w:color w:val="0000FF"/>
              </w:rPr>
            </w:pPr>
            <w:hyperlink w:anchor="page43">
              <w:r>
                <w:rPr>
                  <w:rFonts w:ascii="Arial" w:cs="Arial" w:eastAsia="Arial" w:hAnsi="Arial"/>
                  <w:sz w:val="12"/>
                  <w:szCs w:val="12"/>
                  <w:color w:val="0000FF"/>
                </w:rPr>
                <w:t>43</w:t>
              </w:r>
            </w:hyperlink>
          </w:p>
        </w:tc>
      </w:tr>
      <w:tr>
        <w:trPr>
          <w:trHeight w:val="136"/>
        </w:trPr>
        <w:tc>
          <w:tcPr>
            <w:tcW w:w="360" w:type="dxa"/>
            <w:vAlign w:val="bottom"/>
          </w:tcPr>
          <w:p>
            <w:pPr>
              <w:spacing w:after="0"/>
              <w:rPr>
                <w:sz w:val="11"/>
                <w:szCs w:val="11"/>
                <w:color w:val="auto"/>
              </w:rPr>
            </w:pPr>
          </w:p>
        </w:tc>
        <w:tc>
          <w:tcPr>
            <w:tcW w:w="1260" w:type="dxa"/>
            <w:vAlign w:val="bottom"/>
            <w:tcBorders>
              <w:top w:val="single" w:sz="8" w:color="0000FF"/>
            </w:tcBorders>
            <w:gridSpan w:val="5"/>
          </w:tcPr>
          <w:p>
            <w:pPr>
              <w:spacing w:after="0" w:line="136" w:lineRule="exact"/>
              <w:rPr>
                <w:rFonts w:ascii="Arial" w:cs="Arial" w:eastAsia="Arial" w:hAnsi="Arial"/>
                <w:sz w:val="12"/>
                <w:szCs w:val="12"/>
                <w:color w:val="0000FF"/>
              </w:rPr>
            </w:pPr>
            <w:hyperlink w:anchor="page43">
              <w:r>
                <w:rPr>
                  <w:rFonts w:ascii="Arial" w:cs="Arial" w:eastAsia="Arial" w:hAnsi="Arial"/>
                  <w:sz w:val="12"/>
                  <w:szCs w:val="12"/>
                  <w:color w:val="0000FF"/>
                </w:rPr>
                <w:t>Item 6. Exhibits</w:t>
              </w:r>
            </w:hyperlink>
          </w:p>
        </w:tc>
        <w:tc>
          <w:tcPr>
            <w:tcW w:w="8820" w:type="dxa"/>
            <w:vAlign w:val="bottom"/>
            <w:gridSpan w:val="14"/>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3">
              <w:r>
                <w:rPr>
                  <w:rFonts w:ascii="Arial" w:cs="Arial" w:eastAsia="Arial" w:hAnsi="Arial"/>
                  <w:sz w:val="12"/>
                  <w:szCs w:val="12"/>
                  <w:color w:val="0000FF"/>
                </w:rPr>
                <w:t>44</w:t>
              </w:r>
            </w:hyperlink>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300" w:type="dxa"/>
            <w:vAlign w:val="bottom"/>
            <w:gridSpan w:val="1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6"/>
        </w:trPr>
        <w:tc>
          <w:tcPr>
            <w:tcW w:w="760" w:type="dxa"/>
            <w:vAlign w:val="bottom"/>
            <w:tcBorders>
              <w:bottom w:val="single" w:sz="8" w:color="0000FF"/>
            </w:tcBorders>
            <w:gridSpan w:val="3"/>
          </w:tcPr>
          <w:p>
            <w:pPr>
              <w:spacing w:after="0" w:line="136" w:lineRule="exact"/>
              <w:rPr>
                <w:rFonts w:ascii="Arial" w:cs="Arial" w:eastAsia="Arial" w:hAnsi="Arial"/>
                <w:sz w:val="12"/>
                <w:szCs w:val="12"/>
                <w:color w:val="0000FF"/>
                <w:w w:val="94"/>
              </w:rPr>
            </w:pPr>
            <w:hyperlink w:anchor="page44">
              <w:r>
                <w:rPr>
                  <w:rFonts w:ascii="Arial" w:cs="Arial" w:eastAsia="Arial" w:hAnsi="Arial"/>
                  <w:sz w:val="12"/>
                  <w:szCs w:val="12"/>
                  <w:color w:val="0000FF"/>
                  <w:w w:val="94"/>
                </w:rPr>
                <w:t>SIGNATURES</w:t>
              </w:r>
            </w:hyperlink>
          </w:p>
        </w:tc>
        <w:tc>
          <w:tcPr>
            <w:tcW w:w="9680" w:type="dxa"/>
            <w:vAlign w:val="bottom"/>
            <w:gridSpan w:val="17"/>
          </w:tcPr>
          <w:p>
            <w:pPr>
              <w:spacing w:after="0"/>
              <w:rPr>
                <w:sz w:val="11"/>
                <w:szCs w:val="11"/>
                <w:color w:val="auto"/>
              </w:rPr>
            </w:pPr>
          </w:p>
        </w:tc>
        <w:tc>
          <w:tcPr>
            <w:tcW w:w="860" w:type="dxa"/>
            <w:vAlign w:val="bottom"/>
          </w:tcPr>
          <w:p>
            <w:pPr>
              <w:jc w:val="right"/>
              <w:spacing w:after="0" w:line="136" w:lineRule="exact"/>
              <w:rPr>
                <w:rFonts w:ascii="Arial" w:cs="Arial" w:eastAsia="Arial" w:hAnsi="Arial"/>
                <w:sz w:val="12"/>
                <w:szCs w:val="12"/>
                <w:color w:val="0000FF"/>
              </w:rPr>
            </w:pPr>
            <w:hyperlink w:anchor="page44">
              <w:r>
                <w:rPr>
                  <w:rFonts w:ascii="Arial" w:cs="Arial" w:eastAsia="Arial" w:hAnsi="Arial"/>
                  <w:sz w:val="12"/>
                  <w:szCs w:val="12"/>
                  <w:color w:val="0000FF"/>
                </w:rPr>
                <w:t>45</w:t>
              </w:r>
            </w:hyperlink>
          </w:p>
        </w:tc>
      </w:tr>
      <w:tr>
        <w:trPr>
          <w:trHeight w:val="620"/>
        </w:trPr>
        <w:tc>
          <w:tcPr>
            <w:tcW w:w="10440" w:type="dxa"/>
            <w:vAlign w:val="bottom"/>
            <w:gridSpan w:val="20"/>
          </w:tcPr>
          <w:p>
            <w:pPr>
              <w:jc w:val="center"/>
              <w:ind w:left="799"/>
              <w:spacing w:after="0"/>
              <w:rPr>
                <w:sz w:val="20"/>
                <w:szCs w:val="20"/>
                <w:color w:val="auto"/>
              </w:rPr>
            </w:pPr>
            <w:r>
              <w:rPr>
                <w:rFonts w:ascii="Arial" w:cs="Arial" w:eastAsia="Arial" w:hAnsi="Arial"/>
                <w:sz w:val="12"/>
                <w:szCs w:val="12"/>
                <w:color w:val="auto"/>
                <w:w w:val="89"/>
              </w:rPr>
              <w:t>2</w:t>
            </w:r>
          </w:p>
        </w:tc>
        <w:tc>
          <w:tcPr>
            <w:tcW w:w="860" w:type="dxa"/>
            <w:vAlign w:val="bottom"/>
          </w:tcPr>
          <w:p>
            <w:pPr>
              <w:spacing w:after="0"/>
              <w:rPr>
                <w:sz w:val="24"/>
                <w:szCs w:val="24"/>
                <w:color w:val="auto"/>
              </w:rPr>
            </w:pPr>
          </w:p>
        </w:tc>
      </w:tr>
      <w:tr>
        <w:trPr>
          <w:trHeight w:val="74"/>
        </w:trPr>
        <w:tc>
          <w:tcPr>
            <w:tcW w:w="3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53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 FINANCIAL INFORMATION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4"/>
              </w:rPr>
              <w:t>September 30,</w:t>
            </w:r>
          </w:p>
        </w:tc>
        <w:tc>
          <w:tcPr>
            <w:tcW w:w="240" w:type="dxa"/>
            <w:vAlign w:val="bottom"/>
          </w:tcPr>
          <w:p>
            <w:pPr>
              <w:spacing w:after="0"/>
              <w:rPr>
                <w:sz w:val="10"/>
                <w:szCs w:val="10"/>
                <w:color w:val="auto"/>
              </w:rPr>
            </w:pPr>
          </w:p>
        </w:tc>
        <w:tc>
          <w:tcPr>
            <w:tcW w:w="1060" w:type="dxa"/>
            <w:vAlign w:val="bottom"/>
          </w:tcPr>
          <w:p>
            <w:pPr>
              <w:jc w:val="right"/>
              <w:ind w:right="30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2"/>
        </w:trPr>
        <w:tc>
          <w:tcPr>
            <w:tcW w:w="8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140"/>
              <w:spacing w:after="0"/>
              <w:rPr>
                <w:sz w:val="20"/>
                <w:szCs w:val="20"/>
                <w:color w:val="auto"/>
              </w:rPr>
            </w:pPr>
            <w:r>
              <w:rPr>
                <w:rFonts w:ascii="Arial" w:cs="Arial" w:eastAsia="Arial" w:hAnsi="Arial"/>
                <w:sz w:val="10"/>
                <w:szCs w:val="10"/>
                <w:b w:val="1"/>
                <w:bCs w:val="1"/>
                <w:color w:val="auto"/>
                <w:w w:val="80"/>
              </w:rPr>
              <w:t>2021</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20"/>
        </w:trPr>
        <w:tc>
          <w:tcPr>
            <w:tcW w:w="8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right="140"/>
              <w:spacing w:after="0"/>
              <w:rPr>
                <w:sz w:val="20"/>
                <w:szCs w:val="20"/>
                <w:color w:val="auto"/>
              </w:rPr>
            </w:pPr>
            <w:r>
              <w:rPr>
                <w:rFonts w:ascii="Arial" w:cs="Arial" w:eastAsia="Arial" w:hAnsi="Arial"/>
                <w:sz w:val="10"/>
                <w:szCs w:val="10"/>
                <w:b w:val="1"/>
                <w:bCs w:val="1"/>
                <w:color w:val="auto"/>
                <w:w w:val="91"/>
              </w:rPr>
              <w:t>(unaudited)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Assets</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0" w:type="dxa"/>
            <w:vAlign w:val="bottom"/>
          </w:tcPr>
          <w:p>
            <w:pPr>
              <w:ind w:left="40"/>
              <w:spacing w:after="0"/>
              <w:rPr>
                <w:sz w:val="20"/>
                <w:szCs w:val="20"/>
                <w:color w:val="auto"/>
              </w:rPr>
            </w:pPr>
            <w:r>
              <w:rPr>
                <w:rFonts w:ascii="Arial" w:cs="Arial" w:eastAsia="Arial" w:hAnsi="Arial"/>
                <w:sz w:val="12"/>
                <w:szCs w:val="12"/>
                <w:color w:val="auto"/>
              </w:rPr>
              <w:t>Current assets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215,281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288,640</w:t>
            </w:r>
          </w:p>
        </w:tc>
        <w:tc>
          <w:tcPr>
            <w:tcW w:w="0" w:type="dxa"/>
            <w:vAlign w:val="bottom"/>
          </w:tcPr>
          <w:p>
            <w:pPr>
              <w:spacing w:after="0"/>
              <w:rPr>
                <w:sz w:val="1"/>
                <w:szCs w:val="1"/>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Marketable securities</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228,571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133,893</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Accounts receivable, net</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133,676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140,877</w:t>
            </w:r>
          </w:p>
        </w:tc>
        <w:tc>
          <w:tcPr>
            <w:tcW w:w="0" w:type="dxa"/>
            <w:vAlign w:val="bottom"/>
          </w:tcPr>
          <w:p>
            <w:pPr>
              <w:spacing w:after="0"/>
              <w:rPr>
                <w:sz w:val="1"/>
                <w:szCs w:val="1"/>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Inventories, net</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60,155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48,325</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30,692</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18,682</w:t>
            </w:r>
          </w:p>
        </w:tc>
        <w:tc>
          <w:tcPr>
            <w:tcW w:w="0" w:type="dxa"/>
            <w:vAlign w:val="bottom"/>
          </w:tcPr>
          <w:p>
            <w:pPr>
              <w:spacing w:after="0"/>
              <w:rPr>
                <w:sz w:val="1"/>
                <w:szCs w:val="1"/>
                <w:color w:val="auto"/>
              </w:rPr>
            </w:pPr>
          </w:p>
        </w:tc>
      </w:tr>
      <w:tr>
        <w:trPr>
          <w:trHeight w:val="144"/>
        </w:trPr>
        <w:tc>
          <w:tcPr>
            <w:tcW w:w="8600" w:type="dxa"/>
            <w:vAlign w:val="bottom"/>
          </w:tcPr>
          <w:p>
            <w:pPr>
              <w:ind w:left="40"/>
              <w:spacing w:after="0"/>
              <w:rPr>
                <w:sz w:val="20"/>
                <w:szCs w:val="20"/>
                <w:color w:val="auto"/>
              </w:rPr>
            </w:pPr>
            <w:r>
              <w:rPr>
                <w:rFonts w:ascii="Arial" w:cs="Arial" w:eastAsia="Arial" w:hAnsi="Arial"/>
                <w:sz w:val="12"/>
                <w:szCs w:val="12"/>
                <w:b w:val="1"/>
                <w:bCs w:val="1"/>
                <w:color w:val="auto"/>
              </w:rPr>
              <w:t>Total current assets</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668,375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630,417</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Long term marketable securities</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405,479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350,359</w:t>
            </w:r>
          </w:p>
        </w:tc>
        <w:tc>
          <w:tcPr>
            <w:tcW w:w="0" w:type="dxa"/>
            <w:vAlign w:val="bottom"/>
          </w:tcPr>
          <w:p>
            <w:pPr>
              <w:spacing w:after="0"/>
              <w:rPr>
                <w:sz w:val="1"/>
                <w:szCs w:val="1"/>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Property and equipment, net</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16,471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37,824</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Intangible assets, net</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346,619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364,342</w:t>
            </w:r>
          </w:p>
        </w:tc>
        <w:tc>
          <w:tcPr>
            <w:tcW w:w="0" w:type="dxa"/>
            <w:vAlign w:val="bottom"/>
          </w:tcPr>
          <w:p>
            <w:pPr>
              <w:spacing w:after="0"/>
              <w:rPr>
                <w:sz w:val="1"/>
                <w:szCs w:val="1"/>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Goodwill</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77,963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77,911</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assets</w:t>
            </w: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40,133</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43,249</w:t>
            </w:r>
          </w:p>
        </w:tc>
        <w:tc>
          <w:tcPr>
            <w:tcW w:w="0" w:type="dxa"/>
            <w:vAlign w:val="bottom"/>
          </w:tcPr>
          <w:p>
            <w:pPr>
              <w:spacing w:after="0"/>
              <w:rPr>
                <w:sz w:val="1"/>
                <w:szCs w:val="1"/>
                <w:color w:val="auto"/>
              </w:rPr>
            </w:pPr>
          </w:p>
        </w:tc>
      </w:tr>
      <w:tr>
        <w:trPr>
          <w:trHeight w:val="161"/>
        </w:trPr>
        <w:tc>
          <w:tcPr>
            <w:tcW w:w="860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Total assets</w:t>
            </w: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1,555,040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1,504,102</w:t>
            </w:r>
          </w:p>
        </w:tc>
        <w:tc>
          <w:tcPr>
            <w:tcW w:w="0" w:type="dxa"/>
            <w:vAlign w:val="bottom"/>
          </w:tcPr>
          <w:p>
            <w:pPr>
              <w:spacing w:after="0"/>
              <w:rPr>
                <w:sz w:val="1"/>
                <w:szCs w:val="1"/>
                <w:color w:val="auto"/>
              </w:rPr>
            </w:pPr>
          </w:p>
        </w:tc>
      </w:tr>
      <w:tr>
        <w:trPr>
          <w:trHeight w:val="128"/>
        </w:trPr>
        <w:tc>
          <w:tcPr>
            <w:tcW w:w="8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600" w:type="dxa"/>
            <w:vAlign w:val="bottom"/>
          </w:tcPr>
          <w:p>
            <w:pPr>
              <w:ind w:left="40"/>
              <w:spacing w:after="0"/>
              <w:rPr>
                <w:sz w:val="20"/>
                <w:szCs w:val="20"/>
                <w:color w:val="auto"/>
              </w:rPr>
            </w:pPr>
            <w:r>
              <w:rPr>
                <w:rFonts w:ascii="Arial" w:cs="Arial" w:eastAsia="Arial" w:hAnsi="Arial"/>
                <w:sz w:val="12"/>
                <w:szCs w:val="12"/>
                <w:b w:val="1"/>
                <w:bCs w:val="1"/>
                <w:color w:val="auto"/>
              </w:rPr>
              <w:t>Liabilities and stockholders’ equity</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40"/>
              <w:spacing w:after="0"/>
              <w:rPr>
                <w:sz w:val="20"/>
                <w:szCs w:val="20"/>
                <w:color w:val="auto"/>
              </w:rPr>
            </w:pPr>
            <w:r>
              <w:rPr>
                <w:rFonts w:ascii="Arial" w:cs="Arial" w:eastAsia="Arial" w:hAnsi="Arial"/>
                <w:sz w:val="12"/>
                <w:szCs w:val="12"/>
                <w:color w:val="auto"/>
              </w:rPr>
              <w:t>Current liabilities</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Accounts payable and accrued liabilities</w:t>
            </w: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72,286</w:t>
            </w:r>
          </w:p>
        </w:tc>
        <w:tc>
          <w:tcPr>
            <w:tcW w:w="100" w:type="dxa"/>
            <w:vAlign w:val="bottom"/>
          </w:tcPr>
          <w:p>
            <w:pPr>
              <w:spacing w:after="0"/>
              <w:rPr>
                <w:sz w:val="13"/>
                <w:szCs w:val="13"/>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78,934</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Accrued product returns and rebates</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132,048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126,192</w:t>
            </w:r>
          </w:p>
        </w:tc>
        <w:tc>
          <w:tcPr>
            <w:tcW w:w="0" w:type="dxa"/>
            <w:vAlign w:val="bottom"/>
          </w:tcPr>
          <w:p>
            <w:pPr>
              <w:spacing w:after="0"/>
              <w:rPr>
                <w:sz w:val="1"/>
                <w:szCs w:val="1"/>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Contingent consideration, current portion</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23,570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30,900</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current liabilities</w:t>
            </w: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6,807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9,082</w:t>
            </w:r>
          </w:p>
        </w:tc>
        <w:tc>
          <w:tcPr>
            <w:tcW w:w="0" w:type="dxa"/>
            <w:vAlign w:val="bottom"/>
          </w:tcPr>
          <w:p>
            <w:pPr>
              <w:spacing w:after="0"/>
              <w:rPr>
                <w:sz w:val="1"/>
                <w:szCs w:val="1"/>
                <w:color w:val="auto"/>
              </w:rPr>
            </w:pPr>
          </w:p>
        </w:tc>
      </w:tr>
      <w:tr>
        <w:trPr>
          <w:trHeight w:val="144"/>
        </w:trPr>
        <w:tc>
          <w:tcPr>
            <w:tcW w:w="8600" w:type="dxa"/>
            <w:vAlign w:val="bottom"/>
          </w:tcPr>
          <w:p>
            <w:pPr>
              <w:ind w:left="40"/>
              <w:spacing w:after="0"/>
              <w:rPr>
                <w:sz w:val="20"/>
                <w:szCs w:val="20"/>
                <w:color w:val="auto"/>
              </w:rPr>
            </w:pPr>
            <w:r>
              <w:rPr>
                <w:rFonts w:ascii="Arial" w:cs="Arial" w:eastAsia="Arial" w:hAnsi="Arial"/>
                <w:sz w:val="12"/>
                <w:szCs w:val="12"/>
                <w:b w:val="1"/>
                <w:bCs w:val="1"/>
                <w:color w:val="auto"/>
              </w:rPr>
              <w:t>Total current liabilities</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234,711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245,108</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Convertible notes, net</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374,788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361,751</w:t>
            </w:r>
          </w:p>
        </w:tc>
        <w:tc>
          <w:tcPr>
            <w:tcW w:w="0" w:type="dxa"/>
            <w:vAlign w:val="bottom"/>
          </w:tcPr>
          <w:p>
            <w:pPr>
              <w:spacing w:after="0"/>
              <w:rPr>
                <w:sz w:val="1"/>
                <w:szCs w:val="1"/>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Contingent consideration, long term</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45,480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45,800</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Operating lease liabilities, long term</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37,261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28,579</w:t>
            </w:r>
          </w:p>
        </w:tc>
        <w:tc>
          <w:tcPr>
            <w:tcW w:w="0" w:type="dxa"/>
            <w:vAlign w:val="bottom"/>
          </w:tcPr>
          <w:p>
            <w:pPr>
              <w:spacing w:after="0"/>
              <w:rPr>
                <w:sz w:val="1"/>
                <w:szCs w:val="1"/>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Deferred income tax liabilities</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34,146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35,215</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liabilities</w:t>
            </w: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18,186</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42,791</w:t>
            </w:r>
          </w:p>
        </w:tc>
        <w:tc>
          <w:tcPr>
            <w:tcW w:w="0" w:type="dxa"/>
            <w:vAlign w:val="bottom"/>
          </w:tcPr>
          <w:p>
            <w:pPr>
              <w:spacing w:after="0"/>
              <w:rPr>
                <w:sz w:val="1"/>
                <w:szCs w:val="1"/>
                <w:color w:val="auto"/>
              </w:rPr>
            </w:pPr>
          </w:p>
        </w:tc>
      </w:tr>
      <w:tr>
        <w:trPr>
          <w:trHeight w:val="144"/>
        </w:trPr>
        <w:tc>
          <w:tcPr>
            <w:tcW w:w="8600" w:type="dxa"/>
            <w:vAlign w:val="bottom"/>
          </w:tcPr>
          <w:p>
            <w:pPr>
              <w:ind w:left="40"/>
              <w:spacing w:after="0"/>
              <w:rPr>
                <w:sz w:val="20"/>
                <w:szCs w:val="20"/>
                <w:color w:val="auto"/>
              </w:rPr>
            </w:pPr>
            <w:r>
              <w:rPr>
                <w:rFonts w:ascii="Arial" w:cs="Arial" w:eastAsia="Arial" w:hAnsi="Arial"/>
                <w:sz w:val="12"/>
                <w:szCs w:val="12"/>
                <w:b w:val="1"/>
                <w:bCs w:val="1"/>
                <w:color w:val="auto"/>
              </w:rPr>
              <w:t>Total liabilities</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744,572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759,244</w:t>
            </w:r>
          </w:p>
        </w:tc>
        <w:tc>
          <w:tcPr>
            <w:tcW w:w="0" w:type="dxa"/>
            <w:vAlign w:val="bottom"/>
          </w:tcPr>
          <w:p>
            <w:pPr>
              <w:spacing w:after="0"/>
              <w:rPr>
                <w:sz w:val="1"/>
                <w:szCs w:val="1"/>
                <w:color w:val="auto"/>
              </w:rPr>
            </w:pPr>
          </w:p>
        </w:tc>
      </w:tr>
      <w:tr>
        <w:trPr>
          <w:trHeight w:val="147"/>
        </w:trPr>
        <w:tc>
          <w:tcPr>
            <w:tcW w:w="8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00" w:type="dxa"/>
            <w:vAlign w:val="bottom"/>
          </w:tcPr>
          <w:p>
            <w:pPr>
              <w:ind w:left="40"/>
              <w:spacing w:after="0"/>
              <w:rPr>
                <w:sz w:val="20"/>
                <w:szCs w:val="20"/>
                <w:color w:val="auto"/>
              </w:rPr>
            </w:pPr>
            <w:r>
              <w:rPr>
                <w:rFonts w:ascii="Arial" w:cs="Arial" w:eastAsia="Arial" w:hAnsi="Arial"/>
                <w:sz w:val="12"/>
                <w:szCs w:val="12"/>
                <w:b w:val="1"/>
                <w:bCs w:val="1"/>
                <w:color w:val="auto"/>
              </w:rPr>
              <w:t>Stockholders’ equity</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w w:val="92"/>
              </w:rPr>
              <w:t>Common stock, $0.001 par value; 130,000,000 shares authorized; 53,180,643 and 52,868,482 shares issued and outstanding as of September 30, 2021 and December 31,</w:t>
            </w:r>
          </w:p>
        </w:tc>
        <w:tc>
          <w:tcPr>
            <w:tcW w:w="2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5"/>
        </w:trPr>
        <w:tc>
          <w:tcPr>
            <w:tcW w:w="8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2020, respectively</w:t>
            </w:r>
          </w:p>
        </w:tc>
        <w:tc>
          <w:tcPr>
            <w:tcW w:w="2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Additional paid-in capital</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428,726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409,332</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Accumulated other comprehensive earnings, net of tax</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8,975</w:t>
            </w:r>
          </w:p>
        </w:tc>
        <w:tc>
          <w:tcPr>
            <w:tcW w:w="0" w:type="dxa"/>
            <w:vAlign w:val="bottom"/>
          </w:tcPr>
          <w:p>
            <w:pPr>
              <w:spacing w:after="0"/>
              <w:rPr>
                <w:sz w:val="1"/>
                <w:szCs w:val="1"/>
                <w:color w:val="auto"/>
              </w:rPr>
            </w:pPr>
          </w:p>
        </w:tc>
      </w:tr>
      <w:tr>
        <w:trPr>
          <w:trHeight w:val="155"/>
        </w:trPr>
        <w:tc>
          <w:tcPr>
            <w:tcW w:w="86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Retained earnings</w:t>
            </w: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377,480</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326,498</w:t>
            </w:r>
          </w:p>
        </w:tc>
        <w:tc>
          <w:tcPr>
            <w:tcW w:w="0" w:type="dxa"/>
            <w:vAlign w:val="bottom"/>
          </w:tcPr>
          <w:p>
            <w:pPr>
              <w:spacing w:after="0"/>
              <w:rPr>
                <w:sz w:val="1"/>
                <w:szCs w:val="1"/>
                <w:color w:val="auto"/>
              </w:rPr>
            </w:pPr>
          </w:p>
        </w:tc>
      </w:tr>
      <w:tr>
        <w:trPr>
          <w:trHeight w:val="145"/>
        </w:trPr>
        <w:tc>
          <w:tcPr>
            <w:tcW w:w="86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 stockholders’ equity</w:t>
            </w: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810,468</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744,858</w:t>
            </w:r>
          </w:p>
        </w:tc>
        <w:tc>
          <w:tcPr>
            <w:tcW w:w="0" w:type="dxa"/>
            <w:vAlign w:val="bottom"/>
          </w:tcPr>
          <w:p>
            <w:pPr>
              <w:spacing w:after="0"/>
              <w:rPr>
                <w:sz w:val="1"/>
                <w:szCs w:val="1"/>
                <w:color w:val="auto"/>
              </w:rPr>
            </w:pPr>
          </w:p>
        </w:tc>
      </w:tr>
      <w:tr>
        <w:trPr>
          <w:trHeight w:val="127"/>
        </w:trPr>
        <w:tc>
          <w:tcPr>
            <w:tcW w:w="8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1,555,040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1,504,102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ind w:left="7"/>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8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ind w:left="4407"/>
        <w:spacing w:after="0"/>
        <w:rPr>
          <w:sz w:val="20"/>
          <w:szCs w:val="20"/>
          <w:color w:val="auto"/>
        </w:rPr>
      </w:pPr>
      <w:r>
        <w:rPr>
          <w:rFonts w:ascii="Arial" w:cs="Arial" w:eastAsia="Arial" w:hAnsi="Arial"/>
          <w:sz w:val="12"/>
          <w:szCs w:val="12"/>
          <w:b w:val="1"/>
          <w:bCs w:val="1"/>
          <w:color w:val="auto"/>
        </w:rPr>
        <w:t>Condensed Consolidated Statements of Earnings</w:t>
      </w:r>
    </w:p>
    <w:p>
      <w:pPr>
        <w:spacing w:after="0" w:line="8" w:lineRule="exact"/>
        <w:rPr>
          <w:sz w:val="20"/>
          <w:szCs w:val="20"/>
          <w:color w:val="auto"/>
        </w:rPr>
      </w:pPr>
    </w:p>
    <w:p>
      <w:pPr>
        <w:ind w:left="4447"/>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4" w:lineRule="exact"/>
        <w:rPr>
          <w:sz w:val="20"/>
          <w:szCs w:val="20"/>
          <w:color w:val="auto"/>
        </w:rPr>
      </w:pPr>
    </w:p>
    <w:tbl>
      <w:tblPr>
        <w:tblLayout w:type="fixed"/>
        <w:tblInd w:w="27"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gridSpan w:val="3"/>
          </w:tcPr>
          <w:p>
            <w:pPr>
              <w:jc w:val="center"/>
              <w:ind w:left="461"/>
              <w:spacing w:after="0"/>
              <w:rPr>
                <w:sz w:val="20"/>
                <w:szCs w:val="20"/>
                <w:color w:val="auto"/>
              </w:rPr>
            </w:pPr>
            <w:r>
              <w:rPr>
                <w:rFonts w:ascii="Arial" w:cs="Arial" w:eastAsia="Arial" w:hAnsi="Arial"/>
                <w:sz w:val="10"/>
                <w:szCs w:val="10"/>
                <w:b w:val="1"/>
                <w:bCs w:val="1"/>
                <w:color w:val="auto"/>
                <w:w w:val="87"/>
              </w:rPr>
              <w:t>Three Months ended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gridSpan w:val="3"/>
          </w:tcPr>
          <w:p>
            <w:pPr>
              <w:jc w:val="center"/>
              <w:ind w:left="481"/>
              <w:spacing w:after="0"/>
              <w:rPr>
                <w:sz w:val="20"/>
                <w:szCs w:val="20"/>
                <w:color w:val="auto"/>
              </w:rPr>
            </w:pPr>
            <w:r>
              <w:rPr>
                <w:rFonts w:ascii="Arial" w:cs="Arial" w:eastAsia="Arial" w:hAnsi="Arial"/>
                <w:sz w:val="10"/>
                <w:szCs w:val="10"/>
                <w:b w:val="1"/>
                <w:bCs w:val="1"/>
                <w:color w:val="auto"/>
                <w:w w:val="88"/>
              </w:rPr>
              <w:t>Nine Months ended</w:t>
            </w:r>
          </w:p>
        </w:tc>
        <w:tc>
          <w:tcPr>
            <w:tcW w:w="860" w:type="dxa"/>
            <w:vAlign w:val="bottom"/>
          </w:tcPr>
          <w:p>
            <w:pPr>
              <w:spacing w:after="0"/>
              <w:rPr>
                <w:sz w:val="10"/>
                <w:szCs w:val="10"/>
                <w:color w:val="auto"/>
              </w:rPr>
            </w:pPr>
          </w:p>
        </w:tc>
      </w:tr>
      <w:tr>
        <w:trPr>
          <w:trHeight w:val="127"/>
        </w:trPr>
        <w:tc>
          <w:tcPr>
            <w:tcW w:w="57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0"/>
                <w:szCs w:val="10"/>
                <w:b w:val="1"/>
                <w:bCs w:val="1"/>
                <w:color w:val="auto"/>
                <w:w w:val="87"/>
              </w:rPr>
              <w:t>September 30,</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0"/>
                <w:szCs w:val="10"/>
                <w:b w:val="1"/>
                <w:bCs w:val="1"/>
                <w:color w:val="auto"/>
                <w:w w:val="87"/>
              </w:rPr>
              <w:t>September 30,</w:t>
            </w:r>
          </w:p>
        </w:tc>
        <w:tc>
          <w:tcPr>
            <w:tcW w:w="860" w:type="dxa"/>
            <w:vAlign w:val="bottom"/>
            <w:tcBorders>
              <w:bottom w:val="single" w:sz="8" w:color="auto"/>
            </w:tcBorders>
          </w:tcPr>
          <w:p>
            <w:pPr>
              <w:spacing w:after="0"/>
              <w:rPr>
                <w:sz w:val="11"/>
                <w:szCs w:val="11"/>
                <w:color w:val="auto"/>
              </w:rPr>
            </w:pPr>
          </w:p>
        </w:tc>
      </w:tr>
      <w:tr>
        <w:trPr>
          <w:trHeight w:val="117"/>
        </w:trPr>
        <w:tc>
          <w:tcPr>
            <w:tcW w:w="57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2020</w:t>
            </w:r>
          </w:p>
        </w:tc>
      </w:tr>
      <w:tr>
        <w:trPr>
          <w:trHeight w:val="117"/>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gridSpan w:val="3"/>
          </w:tcPr>
          <w:p>
            <w:pPr>
              <w:jc w:val="center"/>
              <w:ind w:left="481"/>
              <w:spacing w:after="0"/>
              <w:rPr>
                <w:sz w:val="20"/>
                <w:szCs w:val="20"/>
                <w:color w:val="auto"/>
              </w:rPr>
            </w:pPr>
            <w:r>
              <w:rPr>
                <w:rFonts w:ascii="Arial" w:cs="Arial" w:eastAsia="Arial" w:hAnsi="Arial"/>
                <w:sz w:val="10"/>
                <w:szCs w:val="10"/>
                <w:b w:val="1"/>
                <w:bCs w:val="1"/>
                <w:color w:val="auto"/>
                <w:w w:val="88"/>
              </w:rPr>
              <w:t>(unaudited)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gridSpan w:val="3"/>
          </w:tcPr>
          <w:p>
            <w:pPr>
              <w:jc w:val="center"/>
              <w:ind w:left="501"/>
              <w:spacing w:after="0"/>
              <w:rPr>
                <w:sz w:val="20"/>
                <w:szCs w:val="20"/>
                <w:color w:val="auto"/>
              </w:rPr>
            </w:pPr>
            <w:r>
              <w:rPr>
                <w:rFonts w:ascii="Arial" w:cs="Arial" w:eastAsia="Arial" w:hAnsi="Arial"/>
                <w:sz w:val="10"/>
                <w:szCs w:val="10"/>
                <w:b w:val="1"/>
                <w:bCs w:val="1"/>
                <w:color w:val="auto"/>
                <w:w w:val="88"/>
              </w:rPr>
              <w:t>(unaudited)</w:t>
            </w:r>
          </w:p>
        </w:tc>
        <w:tc>
          <w:tcPr>
            <w:tcW w:w="860" w:type="dxa"/>
            <w:vAlign w:val="bottom"/>
          </w:tcPr>
          <w:p>
            <w:pPr>
              <w:spacing w:after="0"/>
              <w:rPr>
                <w:sz w:val="10"/>
                <w:szCs w:val="10"/>
                <w:color w:val="auto"/>
              </w:rPr>
            </w:pPr>
          </w:p>
        </w:tc>
      </w:tr>
      <w:tr>
        <w:trPr>
          <w:trHeight w:val="157"/>
        </w:trPr>
        <w:tc>
          <w:tcPr>
            <w:tcW w:w="5700" w:type="dxa"/>
            <w:vAlign w:val="bottom"/>
            <w:shd w:val="clear" w:color="auto" w:fill="CCEEFF"/>
          </w:tcPr>
          <w:p>
            <w:pPr>
              <w:ind w:left="40"/>
              <w:spacing w:after="0"/>
              <w:rPr>
                <w:sz w:val="20"/>
                <w:szCs w:val="20"/>
                <w:color w:val="auto"/>
              </w:rPr>
            </w:pPr>
            <w:r>
              <w:rPr>
                <w:rFonts w:ascii="Arial" w:cs="Arial" w:eastAsia="Arial" w:hAnsi="Arial"/>
                <w:sz w:val="12"/>
                <w:szCs w:val="12"/>
                <w:color w:val="auto"/>
              </w:rPr>
              <w:t>Revenues</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700" w:type="dxa"/>
            <w:vAlign w:val="bottom"/>
          </w:tcPr>
          <w:p>
            <w:pPr>
              <w:ind w:left="180"/>
              <w:spacing w:after="0"/>
              <w:rPr>
                <w:sz w:val="20"/>
                <w:szCs w:val="20"/>
                <w:color w:val="auto"/>
              </w:rPr>
            </w:pPr>
            <w:r>
              <w:rPr>
                <w:rFonts w:ascii="Arial" w:cs="Arial" w:eastAsia="Arial" w:hAnsi="Arial"/>
                <w:sz w:val="12"/>
                <w:szCs w:val="12"/>
                <w:color w:val="auto"/>
              </w:rPr>
              <w:t>Net product sales</w:t>
            </w: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145,532</w:t>
            </w:r>
          </w:p>
        </w:tc>
        <w:tc>
          <w:tcPr>
            <w:tcW w:w="80" w:type="dxa"/>
            <w:vAlign w:val="bottom"/>
          </w:tcPr>
          <w:p>
            <w:pPr>
              <w:spacing w:after="0"/>
              <w:rPr>
                <w:sz w:val="13"/>
                <w:szCs w:val="13"/>
                <w:color w:val="auto"/>
              </w:rPr>
            </w:pPr>
          </w:p>
        </w:tc>
        <w:tc>
          <w:tcPr>
            <w:tcW w:w="50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152,133</w:t>
            </w:r>
          </w:p>
        </w:tc>
        <w:tc>
          <w:tcPr>
            <w:tcW w:w="80" w:type="dxa"/>
            <w:vAlign w:val="bottom"/>
          </w:tcPr>
          <w:p>
            <w:pPr>
              <w:spacing w:after="0"/>
              <w:rPr>
                <w:sz w:val="13"/>
                <w:szCs w:val="13"/>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412,541</w:t>
            </w:r>
          </w:p>
        </w:tc>
        <w:tc>
          <w:tcPr>
            <w:tcW w:w="80" w:type="dxa"/>
            <w:vAlign w:val="bottom"/>
          </w:tcPr>
          <w:p>
            <w:pPr>
              <w:spacing w:after="0"/>
              <w:rPr>
                <w:sz w:val="13"/>
                <w:szCs w:val="13"/>
                <w:color w:val="auto"/>
              </w:rPr>
            </w:pPr>
          </w:p>
        </w:tc>
        <w:tc>
          <w:tcPr>
            <w:tcW w:w="48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368,607</w:t>
            </w:r>
          </w:p>
        </w:tc>
      </w:tr>
      <w:tr>
        <w:trPr>
          <w:trHeight w:val="156"/>
        </w:trPr>
        <w:tc>
          <w:tcPr>
            <w:tcW w:w="5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Royalty revenues</w:t>
            </w: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2,932</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3,002</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8,184</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8,233</w:t>
            </w:r>
          </w:p>
        </w:tc>
      </w:tr>
      <w:tr>
        <w:trPr>
          <w:trHeight w:val="144"/>
        </w:trPr>
        <w:tc>
          <w:tcPr>
            <w:tcW w:w="57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2"/>
                <w:szCs w:val="12"/>
                <w:color w:val="auto"/>
              </w:rPr>
              <w:t>Total revenues</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148,464</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155,135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420,725</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376,840</w:t>
            </w:r>
          </w:p>
        </w:tc>
      </w:tr>
      <w:tr>
        <w:trPr>
          <w:trHeight w:val="154"/>
        </w:trPr>
        <w:tc>
          <w:tcPr>
            <w:tcW w:w="5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700" w:type="dxa"/>
            <w:vAlign w:val="bottom"/>
          </w:tcPr>
          <w:p>
            <w:pPr>
              <w:ind w:left="40"/>
              <w:spacing w:after="0"/>
              <w:rPr>
                <w:sz w:val="20"/>
                <w:szCs w:val="20"/>
                <w:color w:val="auto"/>
              </w:rPr>
            </w:pPr>
            <w:r>
              <w:rPr>
                <w:rFonts w:ascii="Arial" w:cs="Arial" w:eastAsia="Arial" w:hAnsi="Arial"/>
                <w:sz w:val="12"/>
                <w:szCs w:val="12"/>
                <w:color w:val="auto"/>
              </w:rPr>
              <w:t>Costs and expenses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5700" w:type="dxa"/>
            <w:vAlign w:val="bottom"/>
            <w:shd w:val="clear" w:color="auto" w:fill="CCEEFF"/>
          </w:tcPr>
          <w:p>
            <w:pPr>
              <w:ind w:left="180"/>
              <w:spacing w:after="0" w:line="156" w:lineRule="exact"/>
              <w:rPr>
                <w:sz w:val="20"/>
                <w:szCs w:val="20"/>
                <w:color w:val="auto"/>
              </w:rPr>
            </w:pPr>
            <w:r>
              <w:rPr>
                <w:rFonts w:ascii="Arial" w:cs="Arial" w:eastAsia="Arial" w:hAnsi="Arial"/>
                <w:sz w:val="12"/>
                <w:szCs w:val="12"/>
                <w:color w:val="auto"/>
              </w:rPr>
              <w:t xml:space="preserve">Cost of goods sold </w:t>
            </w:r>
            <w:r>
              <w:rPr>
                <w:rFonts w:ascii="Arial" w:cs="Arial" w:eastAsia="Arial" w:hAnsi="Arial"/>
                <w:sz w:val="15"/>
                <w:szCs w:val="15"/>
                <w:color w:val="auto"/>
                <w:vertAlign w:val="superscript"/>
              </w:rPr>
              <w:t>(a)</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18,085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21,388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58,067</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33,926</w:t>
            </w:r>
          </w:p>
        </w:tc>
      </w:tr>
      <w:tr>
        <w:trPr>
          <w:trHeight w:val="155"/>
        </w:trPr>
        <w:tc>
          <w:tcPr>
            <w:tcW w:w="5700" w:type="dxa"/>
            <w:vAlign w:val="bottom"/>
          </w:tcPr>
          <w:p>
            <w:pPr>
              <w:ind w:left="180"/>
              <w:spacing w:after="0"/>
              <w:rPr>
                <w:sz w:val="20"/>
                <w:szCs w:val="20"/>
                <w:color w:val="auto"/>
              </w:rPr>
            </w:pPr>
            <w:r>
              <w:rPr>
                <w:rFonts w:ascii="Arial" w:cs="Arial" w:eastAsia="Arial" w:hAnsi="Arial"/>
                <w:sz w:val="12"/>
                <w:szCs w:val="12"/>
                <w:color w:val="auto"/>
              </w:rPr>
              <w:t>Research and development</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19,654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16,839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69,389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58,023</w:t>
            </w:r>
          </w:p>
        </w:tc>
      </w:tr>
      <w:tr>
        <w:trPr>
          <w:trHeight w:val="156"/>
        </w:trPr>
        <w:tc>
          <w:tcPr>
            <w:tcW w:w="5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Selling, general and administrative</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72,032</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54,460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203,024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144,177</w:t>
            </w:r>
          </w:p>
        </w:tc>
      </w:tr>
      <w:tr>
        <w:trPr>
          <w:trHeight w:val="155"/>
        </w:trPr>
        <w:tc>
          <w:tcPr>
            <w:tcW w:w="5700" w:type="dxa"/>
            <w:vAlign w:val="bottom"/>
          </w:tcPr>
          <w:p>
            <w:pPr>
              <w:ind w:left="200"/>
              <w:spacing w:after="0"/>
              <w:rPr>
                <w:sz w:val="20"/>
                <w:szCs w:val="20"/>
                <w:color w:val="auto"/>
              </w:rPr>
            </w:pPr>
            <w:r>
              <w:rPr>
                <w:rFonts w:ascii="Arial" w:cs="Arial" w:eastAsia="Arial" w:hAnsi="Arial"/>
                <w:sz w:val="12"/>
                <w:szCs w:val="12"/>
                <w:color w:val="auto"/>
              </w:rPr>
              <w:t>Amortization of intangible assets</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6,009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6,108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17,964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9,814</w:t>
            </w:r>
          </w:p>
        </w:tc>
      </w:tr>
      <w:tr>
        <w:trPr>
          <w:trHeight w:val="156"/>
        </w:trPr>
        <w:tc>
          <w:tcPr>
            <w:tcW w:w="5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Contingent consideration expense (gain)</w:t>
            </w: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(7,650)</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w:t>
            </w:r>
          </w:p>
        </w:tc>
      </w:tr>
      <w:tr>
        <w:trPr>
          <w:trHeight w:val="144"/>
        </w:trPr>
        <w:tc>
          <w:tcPr>
            <w:tcW w:w="570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2"/>
                <w:szCs w:val="12"/>
                <w:color w:val="auto"/>
              </w:rPr>
              <w:t>Total costs and expenses</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115,860</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98,995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340,794</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246,140</w:t>
            </w:r>
          </w:p>
        </w:tc>
      </w:tr>
      <w:tr>
        <w:trPr>
          <w:trHeight w:val="154"/>
        </w:trPr>
        <w:tc>
          <w:tcPr>
            <w:tcW w:w="5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Operating earnings</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32,604</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56,140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79,931</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130,700</w:t>
            </w:r>
          </w:p>
        </w:tc>
      </w:tr>
      <w:tr>
        <w:trPr>
          <w:trHeight w:val="154"/>
        </w:trPr>
        <w:tc>
          <w:tcPr>
            <w:tcW w:w="5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700" w:type="dxa"/>
            <w:vAlign w:val="bottom"/>
          </w:tcPr>
          <w:p>
            <w:pPr>
              <w:ind w:left="40"/>
              <w:spacing w:after="0"/>
              <w:rPr>
                <w:sz w:val="20"/>
                <w:szCs w:val="20"/>
                <w:color w:val="auto"/>
              </w:rPr>
            </w:pPr>
            <w:r>
              <w:rPr>
                <w:rFonts w:ascii="Arial" w:cs="Arial" w:eastAsia="Arial" w:hAnsi="Arial"/>
                <w:sz w:val="12"/>
                <w:szCs w:val="12"/>
                <w:color w:val="auto"/>
              </w:rPr>
              <w:t>Other income (expense)</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5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(17,489)</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(17,658)</w:t>
            </w:r>
          </w:p>
        </w:tc>
      </w:tr>
      <w:tr>
        <w:trPr>
          <w:trHeight w:val="155"/>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Interest and other income, net</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2,281</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8,682</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15,913</w:t>
            </w:r>
          </w:p>
        </w:tc>
      </w:tr>
      <w:tr>
        <w:trPr>
          <w:trHeight w:val="145"/>
        </w:trPr>
        <w:tc>
          <w:tcPr>
            <w:tcW w:w="5700" w:type="dxa"/>
            <w:vAlign w:val="bottom"/>
            <w:shd w:val="clear" w:color="auto" w:fill="CCEEFF"/>
          </w:tcPr>
          <w:p>
            <w:pPr>
              <w:ind w:left="40"/>
              <w:spacing w:after="0" w:line="136" w:lineRule="exact"/>
              <w:rPr>
                <w:sz w:val="20"/>
                <w:szCs w:val="20"/>
                <w:color w:val="auto"/>
              </w:rPr>
            </w:pPr>
            <w:r>
              <w:rPr>
                <w:rFonts w:ascii="Arial" w:cs="Arial" w:eastAsia="Arial" w:hAnsi="Arial"/>
                <w:sz w:val="12"/>
                <w:szCs w:val="12"/>
                <w:color w:val="auto"/>
              </w:rPr>
              <w:t>Total other expense</w:t>
            </w:r>
          </w:p>
        </w:tc>
        <w:tc>
          <w:tcPr>
            <w:tcW w:w="3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(3,644)</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(3,429)</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(8,807)</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(1,745)</w:t>
            </w:r>
          </w:p>
        </w:tc>
      </w:tr>
      <w:tr>
        <w:trPr>
          <w:trHeight w:val="154"/>
        </w:trPr>
        <w:tc>
          <w:tcPr>
            <w:tcW w:w="5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5700" w:type="dxa"/>
            <w:vAlign w:val="bottom"/>
            <w:shd w:val="clear" w:color="auto" w:fill="CCEEFF"/>
          </w:tcPr>
          <w:p>
            <w:pPr>
              <w:ind w:left="40"/>
              <w:spacing w:after="0"/>
              <w:rPr>
                <w:sz w:val="20"/>
                <w:szCs w:val="20"/>
                <w:color w:val="auto"/>
              </w:rPr>
            </w:pPr>
            <w:r>
              <w:rPr>
                <w:rFonts w:ascii="Arial" w:cs="Arial" w:eastAsia="Arial" w:hAnsi="Arial"/>
                <w:sz w:val="12"/>
                <w:szCs w:val="12"/>
                <w:color w:val="auto"/>
              </w:rPr>
              <w:t>Earnings before income taxes</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28,960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52,711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71,124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128,955</w:t>
            </w:r>
          </w:p>
        </w:tc>
      </w:tr>
      <w:tr>
        <w:trPr>
          <w:trHeight w:val="174"/>
        </w:trPr>
        <w:tc>
          <w:tcPr>
            <w:tcW w:w="5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56"/>
        </w:trPr>
        <w:tc>
          <w:tcPr>
            <w:tcW w:w="5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 expense</w:t>
            </w: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7,398</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12,714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20,142</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32,773</w:t>
            </w:r>
          </w:p>
        </w:tc>
      </w:tr>
      <w:tr>
        <w:trPr>
          <w:trHeight w:val="161"/>
        </w:trPr>
        <w:tc>
          <w:tcPr>
            <w:tcW w:w="5700" w:type="dxa"/>
            <w:vAlign w:val="bottom"/>
            <w:tcBorders>
              <w:bottom w:val="single" w:sz="8" w:color="CCEEFF"/>
            </w:tcBorders>
          </w:tcPr>
          <w:p>
            <w:pPr>
              <w:ind w:left="40"/>
              <w:spacing w:after="0" w:line="135" w:lineRule="exact"/>
              <w:rPr>
                <w:sz w:val="20"/>
                <w:szCs w:val="20"/>
                <w:color w:val="auto"/>
              </w:rPr>
            </w:pPr>
            <w:r>
              <w:rPr>
                <w:rFonts w:ascii="Arial" w:cs="Arial" w:eastAsia="Arial" w:hAnsi="Arial"/>
                <w:sz w:val="12"/>
                <w:szCs w:val="12"/>
                <w:color w:val="auto"/>
              </w:rPr>
              <w:t>Net earnings</w:t>
            </w:r>
          </w:p>
        </w:tc>
        <w:tc>
          <w:tcPr>
            <w:tcW w:w="3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21,562</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39,997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50,982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96,182</w:t>
            </w:r>
          </w:p>
        </w:tc>
      </w:tr>
      <w:tr>
        <w:trPr>
          <w:trHeight w:val="156"/>
        </w:trPr>
        <w:tc>
          <w:tcPr>
            <w:tcW w:w="5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5"/>
        </w:trPr>
        <w:tc>
          <w:tcPr>
            <w:tcW w:w="5700" w:type="dxa"/>
            <w:vAlign w:val="bottom"/>
          </w:tcPr>
          <w:p>
            <w:pPr>
              <w:ind w:left="40"/>
              <w:spacing w:after="0"/>
              <w:rPr>
                <w:sz w:val="20"/>
                <w:szCs w:val="20"/>
                <w:color w:val="auto"/>
              </w:rPr>
            </w:pPr>
            <w:r>
              <w:rPr>
                <w:rFonts w:ascii="Arial" w:cs="Arial" w:eastAsia="Arial" w:hAnsi="Arial"/>
                <w:sz w:val="12"/>
                <w:szCs w:val="12"/>
                <w:color w:val="auto"/>
              </w:rPr>
              <w:t>Earnings per share</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5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0.41</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0.96</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r>
      <w:tr>
        <w:trPr>
          <w:trHeight w:val="155"/>
        </w:trPr>
        <w:tc>
          <w:tcPr>
            <w:tcW w:w="5700" w:type="dxa"/>
            <w:vAlign w:val="bottom"/>
          </w:tcPr>
          <w:p>
            <w:pPr>
              <w:ind w:left="120"/>
              <w:spacing w:after="0"/>
              <w:rPr>
                <w:sz w:val="20"/>
                <w:szCs w:val="20"/>
                <w:color w:val="auto"/>
              </w:rPr>
            </w:pPr>
            <w:r>
              <w:rPr>
                <w:rFonts w:ascii="Arial" w:cs="Arial" w:eastAsia="Arial" w:hAnsi="Arial"/>
                <w:sz w:val="12"/>
                <w:szCs w:val="12"/>
                <w:color w:val="auto"/>
              </w:rPr>
              <w:t>Diluted</w:t>
            </w: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0.40</w:t>
            </w:r>
          </w:p>
        </w:tc>
        <w:tc>
          <w:tcPr>
            <w:tcW w:w="80" w:type="dxa"/>
            <w:vAlign w:val="bottom"/>
          </w:tcPr>
          <w:p>
            <w:pPr>
              <w:spacing w:after="0"/>
              <w:rPr>
                <w:sz w:val="13"/>
                <w:szCs w:val="13"/>
                <w:color w:val="auto"/>
              </w:rPr>
            </w:pPr>
          </w:p>
        </w:tc>
        <w:tc>
          <w:tcPr>
            <w:tcW w:w="50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0.74</w:t>
            </w:r>
          </w:p>
        </w:tc>
        <w:tc>
          <w:tcPr>
            <w:tcW w:w="80" w:type="dxa"/>
            <w:vAlign w:val="bottom"/>
          </w:tcPr>
          <w:p>
            <w:pPr>
              <w:spacing w:after="0"/>
              <w:rPr>
                <w:sz w:val="13"/>
                <w:szCs w:val="13"/>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0.94</w:t>
            </w:r>
          </w:p>
        </w:tc>
        <w:tc>
          <w:tcPr>
            <w:tcW w:w="80" w:type="dxa"/>
            <w:vAlign w:val="bottom"/>
          </w:tcPr>
          <w:p>
            <w:pPr>
              <w:spacing w:after="0"/>
              <w:rPr>
                <w:sz w:val="13"/>
                <w:szCs w:val="13"/>
                <w:color w:val="auto"/>
              </w:rPr>
            </w:pPr>
          </w:p>
        </w:tc>
        <w:tc>
          <w:tcPr>
            <w:tcW w:w="48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1.79</w:t>
            </w:r>
          </w:p>
        </w:tc>
      </w:tr>
      <w:tr>
        <w:trPr>
          <w:trHeight w:val="174"/>
        </w:trPr>
        <w:tc>
          <w:tcPr>
            <w:tcW w:w="5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55"/>
        </w:trPr>
        <w:tc>
          <w:tcPr>
            <w:tcW w:w="5700" w:type="dxa"/>
            <w:vAlign w:val="bottom"/>
          </w:tcPr>
          <w:p>
            <w:pPr>
              <w:ind w:left="40"/>
              <w:spacing w:after="0"/>
              <w:rPr>
                <w:sz w:val="20"/>
                <w:szCs w:val="20"/>
                <w:color w:val="auto"/>
              </w:rPr>
            </w:pPr>
            <w:r>
              <w:rPr>
                <w:rFonts w:ascii="Arial" w:cs="Arial" w:eastAsia="Arial" w:hAnsi="Arial"/>
                <w:sz w:val="12"/>
                <w:szCs w:val="12"/>
                <w:color w:val="auto"/>
              </w:rPr>
              <w:t>Weighted-average shares outstanding</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5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53,187,764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52,658,850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53,053,441</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52,583,891</w:t>
            </w:r>
          </w:p>
        </w:tc>
      </w:tr>
      <w:tr>
        <w:trPr>
          <w:trHeight w:val="155"/>
        </w:trPr>
        <w:tc>
          <w:tcPr>
            <w:tcW w:w="5700" w:type="dxa"/>
            <w:vAlign w:val="bottom"/>
          </w:tcPr>
          <w:p>
            <w:pPr>
              <w:ind w:left="120"/>
              <w:spacing w:after="0"/>
              <w:rPr>
                <w:sz w:val="20"/>
                <w:szCs w:val="20"/>
                <w:color w:val="auto"/>
              </w:rPr>
            </w:pPr>
            <w:r>
              <w:rPr>
                <w:rFonts w:ascii="Arial" w:cs="Arial" w:eastAsia="Arial" w:hAnsi="Arial"/>
                <w:sz w:val="12"/>
                <w:szCs w:val="12"/>
                <w:color w:val="auto"/>
              </w:rPr>
              <w:t>Diluted</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54,334,794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53,762,642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54,301,461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53,663,273</w:t>
            </w:r>
          </w:p>
        </w:tc>
      </w:tr>
    </w:tbl>
    <w:p>
      <w:pPr>
        <w:spacing w:after="0" w:line="171" w:lineRule="exact"/>
        <w:rPr>
          <w:sz w:val="20"/>
          <w:szCs w:val="20"/>
          <w:color w:val="auto"/>
        </w:rPr>
      </w:pPr>
    </w:p>
    <w:p>
      <w:pPr>
        <w:ind w:left="7"/>
        <w:spacing w:after="0"/>
        <w:rPr>
          <w:sz w:val="20"/>
          <w:szCs w:val="20"/>
          <w:color w:val="auto"/>
        </w:rPr>
      </w:pPr>
      <w:r>
        <w:rPr>
          <w:rFonts w:ascii="Arial" w:cs="Arial" w:eastAsia="Arial" w:hAnsi="Arial"/>
          <w:sz w:val="10"/>
          <w:szCs w:val="10"/>
          <w:color w:val="auto"/>
        </w:rPr>
        <w:t>______________________________</w:t>
      </w:r>
    </w:p>
    <w:p>
      <w:pPr>
        <w:spacing w:after="0" w:line="39" w:lineRule="exact"/>
        <w:rPr>
          <w:sz w:val="20"/>
          <w:szCs w:val="20"/>
          <w:color w:val="auto"/>
        </w:rPr>
      </w:pPr>
    </w:p>
    <w:p>
      <w:pPr>
        <w:ind w:left="107" w:hanging="107"/>
        <w:spacing w:after="0"/>
        <w:tabs>
          <w:tab w:leader="none" w:pos="107" w:val="left"/>
        </w:tabs>
        <w:numPr>
          <w:ilvl w:val="0"/>
          <w:numId w:val="4"/>
        </w:numPr>
        <w:rPr>
          <w:rFonts w:ascii="Arial" w:cs="Arial" w:eastAsia="Arial" w:hAnsi="Arial"/>
          <w:sz w:val="12"/>
          <w:szCs w:val="12"/>
          <w:color w:val="auto"/>
          <w:vertAlign w:val="superscript"/>
        </w:rPr>
      </w:pPr>
      <w:r>
        <w:rPr>
          <w:rFonts w:ascii="Arial" w:cs="Arial" w:eastAsia="Arial" w:hAnsi="Arial"/>
          <w:sz w:val="9"/>
          <w:szCs w:val="9"/>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
        <w:spacing w:after="0"/>
        <w:rPr>
          <w:sz w:val="20"/>
          <w:szCs w:val="20"/>
          <w:color w:val="auto"/>
        </w:rPr>
      </w:pPr>
      <w:r>
        <w:rPr>
          <w:rFonts w:ascii="Arial" w:cs="Arial" w:eastAsia="Arial" w:hAnsi="Arial"/>
          <w:sz w:val="12"/>
          <w:szCs w:val="12"/>
          <w:color w:val="auto"/>
        </w:rPr>
        <w:t>See accompanying notes.</w:t>
      </w:r>
    </w:p>
    <w:p>
      <w:pPr>
        <w:spacing w:after="0" w:line="384" w:lineRule="exact"/>
        <w:rPr>
          <w:sz w:val="20"/>
          <w:szCs w:val="20"/>
          <w:color w:val="auto"/>
        </w:rPr>
      </w:pPr>
    </w:p>
    <w:p>
      <w:pPr>
        <w:jc w:val="center"/>
        <w:ind w:right="13"/>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27"/>
          </w:cols>
          <w:pgMar w:left="293" w:top="131" w:right="27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Earnings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3"/>
          </w:tcPr>
          <w:p>
            <w:pPr>
              <w:jc w:val="center"/>
              <w:spacing w:after="0"/>
              <w:rPr>
                <w:sz w:val="20"/>
                <w:szCs w:val="20"/>
                <w:color w:val="auto"/>
              </w:rPr>
            </w:pPr>
            <w:r>
              <w:rPr>
                <w:rFonts w:ascii="Arial" w:cs="Arial" w:eastAsia="Arial" w:hAnsi="Arial"/>
                <w:sz w:val="10"/>
                <w:szCs w:val="10"/>
                <w:b w:val="1"/>
                <w:bCs w:val="1"/>
                <w:color w:val="auto"/>
                <w:w w:val="87"/>
              </w:rPr>
              <w:t>Three Months ended</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3"/>
          </w:tcPr>
          <w:p>
            <w:pPr>
              <w:jc w:val="center"/>
              <w:ind w:left="465"/>
              <w:spacing w:after="0"/>
              <w:rPr>
                <w:sz w:val="20"/>
                <w:szCs w:val="20"/>
                <w:color w:val="auto"/>
              </w:rPr>
            </w:pPr>
            <w:r>
              <w:rPr>
                <w:rFonts w:ascii="Arial" w:cs="Arial" w:eastAsia="Arial" w:hAnsi="Arial"/>
                <w:sz w:val="10"/>
                <w:szCs w:val="10"/>
                <w:b w:val="1"/>
                <w:bCs w:val="1"/>
                <w:color w:val="auto"/>
                <w:w w:val="86"/>
              </w:rPr>
              <w:t>Nine Months ended</w:t>
            </w:r>
          </w:p>
        </w:tc>
        <w:tc>
          <w:tcPr>
            <w:tcW w:w="840" w:type="dxa"/>
            <w:vAlign w:val="bottom"/>
          </w:tcPr>
          <w:p>
            <w:pPr>
              <w:spacing w:after="0"/>
              <w:rPr>
                <w:sz w:val="10"/>
                <w:szCs w:val="10"/>
                <w:color w:val="auto"/>
              </w:rPr>
            </w:pPr>
          </w:p>
        </w:tc>
      </w:tr>
      <w:tr>
        <w:trPr>
          <w:trHeight w:val="127"/>
        </w:trPr>
        <w:tc>
          <w:tcPr>
            <w:tcW w:w="58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7"/>
              </w:rPr>
              <w:t>September 30,</w:t>
            </w: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center"/>
              <w:ind w:left="465"/>
              <w:spacing w:after="0"/>
              <w:rPr>
                <w:sz w:val="20"/>
                <w:szCs w:val="20"/>
                <w:color w:val="auto"/>
              </w:rPr>
            </w:pPr>
            <w:r>
              <w:rPr>
                <w:rFonts w:ascii="Arial" w:cs="Arial" w:eastAsia="Arial" w:hAnsi="Arial"/>
                <w:sz w:val="10"/>
                <w:szCs w:val="10"/>
                <w:b w:val="1"/>
                <w:bCs w:val="1"/>
                <w:color w:val="auto"/>
                <w:w w:val="87"/>
              </w:rPr>
              <w:t>September 30,</w:t>
            </w:r>
          </w:p>
        </w:tc>
        <w:tc>
          <w:tcPr>
            <w:tcW w:w="840" w:type="dxa"/>
            <w:vAlign w:val="bottom"/>
            <w:tcBorders>
              <w:bottom w:val="single" w:sz="8" w:color="auto"/>
            </w:tcBorders>
          </w:tcPr>
          <w:p>
            <w:pPr>
              <w:spacing w:after="0"/>
              <w:rPr>
                <w:sz w:val="11"/>
                <w:szCs w:val="11"/>
                <w:color w:val="auto"/>
              </w:rPr>
            </w:pPr>
          </w:p>
        </w:tc>
      </w:tr>
      <w:tr>
        <w:trPr>
          <w:trHeight w:val="117"/>
        </w:trPr>
        <w:tc>
          <w:tcPr>
            <w:tcW w:w="5880" w:type="dxa"/>
            <w:vAlign w:val="bottom"/>
          </w:tcPr>
          <w:p>
            <w:pPr>
              <w:spacing w:after="0"/>
              <w:rPr>
                <w:sz w:val="10"/>
                <w:szCs w:val="10"/>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2020</w:t>
            </w:r>
          </w:p>
        </w:tc>
      </w:tr>
      <w:tr>
        <w:trPr>
          <w:trHeight w:val="117"/>
        </w:trPr>
        <w:tc>
          <w:tcPr>
            <w:tcW w:w="5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1"/>
              </w:rPr>
              <w:t>(unaudited)</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3"/>
          </w:tcPr>
          <w:p>
            <w:pPr>
              <w:jc w:val="center"/>
              <w:ind w:left="465"/>
              <w:spacing w:after="0"/>
              <w:rPr>
                <w:sz w:val="20"/>
                <w:szCs w:val="20"/>
                <w:color w:val="auto"/>
              </w:rPr>
            </w:pPr>
            <w:r>
              <w:rPr>
                <w:rFonts w:ascii="Arial" w:cs="Arial" w:eastAsia="Arial" w:hAnsi="Arial"/>
                <w:sz w:val="10"/>
                <w:szCs w:val="10"/>
                <w:b w:val="1"/>
                <w:bCs w:val="1"/>
                <w:color w:val="auto"/>
                <w:w w:val="88"/>
              </w:rPr>
              <w:t>(unaudited)</w:t>
            </w:r>
          </w:p>
        </w:tc>
        <w:tc>
          <w:tcPr>
            <w:tcW w:w="840" w:type="dxa"/>
            <w:vAlign w:val="bottom"/>
          </w:tcPr>
          <w:p>
            <w:pPr>
              <w:spacing w:after="0"/>
              <w:rPr>
                <w:sz w:val="10"/>
                <w:szCs w:val="10"/>
                <w:color w:val="auto"/>
              </w:rPr>
            </w:pPr>
          </w:p>
        </w:tc>
      </w:tr>
      <w:tr>
        <w:trPr>
          <w:trHeight w:val="157"/>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7"/>
              </w:rPr>
              <w:t>21,562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7"/>
              </w:rPr>
              <w:t>39,997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2"/>
                <w:szCs w:val="12"/>
                <w:color w:val="auto"/>
                <w:w w:val="97"/>
              </w:rPr>
              <w:t>50,982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96,182</w:t>
            </w:r>
          </w:p>
        </w:tc>
      </w:tr>
      <w:tr>
        <w:trPr>
          <w:trHeight w:val="155"/>
        </w:trPr>
        <w:tc>
          <w:tcPr>
            <w:tcW w:w="5880" w:type="dxa"/>
            <w:vAlign w:val="bottom"/>
          </w:tcPr>
          <w:p>
            <w:pPr>
              <w:spacing w:after="0"/>
              <w:rPr>
                <w:sz w:val="20"/>
                <w:szCs w:val="20"/>
                <w:color w:val="auto"/>
              </w:rPr>
            </w:pPr>
            <w:r>
              <w:rPr>
                <w:rFonts w:ascii="Arial" w:cs="Arial" w:eastAsia="Arial" w:hAnsi="Arial"/>
                <w:sz w:val="12"/>
                <w:szCs w:val="12"/>
                <w:color w:val="auto"/>
              </w:rPr>
              <w:t>Other comprehensive earnings</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6"/>
        </w:trPr>
        <w:tc>
          <w:tcPr>
            <w:tcW w:w="588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(loss) gain on marketable securities, net of tax</w:t>
            </w:r>
          </w:p>
        </w:tc>
        <w:tc>
          <w:tcPr>
            <w:tcW w:w="8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w w:val="94"/>
              </w:rPr>
              <w:t>(1,224)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w w:val="89"/>
              </w:rPr>
              <w:t>(1,659)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2"/>
                <w:szCs w:val="12"/>
                <w:color w:val="auto"/>
                <w:w w:val="94"/>
              </w:rPr>
              <w:t>(4,766)</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2,283</w:t>
            </w:r>
          </w:p>
        </w:tc>
      </w:tr>
      <w:tr>
        <w:trPr>
          <w:trHeight w:val="144"/>
        </w:trPr>
        <w:tc>
          <w:tcPr>
            <w:tcW w:w="588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Other comprehensive (loss) income</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94"/>
              </w:rPr>
              <w:t>(1,224)</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w w:val="89"/>
              </w:rPr>
              <w:t>(1,659)</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w w:val="94"/>
              </w:rPr>
              <w:t>(4,766)</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2,283</w:t>
            </w:r>
          </w:p>
        </w:tc>
      </w:tr>
      <w:tr>
        <w:trPr>
          <w:trHeight w:val="154"/>
        </w:trPr>
        <w:tc>
          <w:tcPr>
            <w:tcW w:w="5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5"/>
        </w:trPr>
        <w:tc>
          <w:tcPr>
            <w:tcW w:w="5880" w:type="dxa"/>
            <w:vAlign w:val="bottom"/>
          </w:tcPr>
          <w:p>
            <w:pPr>
              <w:spacing w:after="0"/>
              <w:rPr>
                <w:sz w:val="20"/>
                <w:szCs w:val="20"/>
                <w:color w:val="auto"/>
              </w:rPr>
            </w:pPr>
            <w:r>
              <w:rPr>
                <w:rFonts w:ascii="Arial" w:cs="Arial" w:eastAsia="Arial" w:hAnsi="Arial"/>
                <w:sz w:val="12"/>
                <w:szCs w:val="12"/>
                <w:color w:val="auto"/>
              </w:rPr>
              <w:t>Comprehensive earnings</w:t>
            </w:r>
          </w:p>
        </w:tc>
        <w:tc>
          <w:tcPr>
            <w:tcW w:w="820" w:type="dxa"/>
            <w:vAlign w:val="bottom"/>
            <w:tcBorders>
              <w:bottom w:val="single" w:sz="8" w:color="auto"/>
            </w:tcBorders>
          </w:tcPr>
          <w:p>
            <w:pPr>
              <w:jc w:val="right"/>
              <w:ind w:right="683"/>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97"/>
              </w:rPr>
              <w:t>20,338</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w w:val="97"/>
              </w:rPr>
              <w:t>38,338</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w w:val="97"/>
              </w:rPr>
              <w:t>46,216</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98,465</w:t>
            </w:r>
          </w:p>
        </w:tc>
      </w:tr>
      <w:tr>
        <w:trPr>
          <w:trHeight w:val="20"/>
        </w:trPr>
        <w:tc>
          <w:tcPr>
            <w:tcW w:w="5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Changes in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Nine Months ended September 30, 2021 and 2020</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thousands, except share data)</w:t>
      </w:r>
    </w:p>
    <w:p>
      <w:pPr>
        <w:spacing w:after="0" w:line="22" w:lineRule="exact"/>
        <w:rPr>
          <w:sz w:val="20"/>
          <w:szCs w:val="20"/>
          <w:color w:val="auto"/>
        </w:rPr>
      </w:pPr>
    </w:p>
    <w:tbl>
      <w:tblPr>
        <w:tblLayout w:type="fixed"/>
        <w:tblInd w:w="362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13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Common Stock</w:t>
            </w:r>
          </w:p>
        </w:tc>
        <w:tc>
          <w:tcPr>
            <w:tcW w:w="144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Arial" w:cs="Arial" w:eastAsia="Arial" w:hAnsi="Arial"/>
                <w:sz w:val="10"/>
                <w:szCs w:val="10"/>
                <w:b w:val="1"/>
                <w:bCs w:val="1"/>
                <w:color w:val="auto"/>
                <w:w w:val="91"/>
              </w:rPr>
              <w:t>Accumulated Other</w:t>
            </w:r>
          </w:p>
        </w:tc>
        <w:tc>
          <w:tcPr>
            <w:tcW w:w="1200" w:type="dxa"/>
            <w:vAlign w:val="bottom"/>
          </w:tcPr>
          <w:p>
            <w:pPr>
              <w:spacing w:after="0"/>
              <w:rPr>
                <w:sz w:val="10"/>
                <w:szCs w:val="10"/>
                <w:color w:val="auto"/>
              </w:rPr>
            </w:pPr>
          </w:p>
        </w:tc>
        <w:tc>
          <w:tcPr>
            <w:tcW w:w="980" w:type="dxa"/>
            <w:vAlign w:val="bottom"/>
          </w:tcPr>
          <w:p>
            <w:pPr>
              <w:jc w:val="center"/>
              <w:ind w:left="355"/>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9"/>
        </w:trPr>
        <w:tc>
          <w:tcPr>
            <w:tcW w:w="7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440" w:type="dxa"/>
            <w:vAlign w:val="bottom"/>
          </w:tcPr>
          <w:p>
            <w:pPr>
              <w:jc w:val="center"/>
              <w:spacing w:after="0" w:line="69" w:lineRule="exact"/>
              <w:rPr>
                <w:sz w:val="20"/>
                <w:szCs w:val="20"/>
                <w:color w:val="auto"/>
              </w:rPr>
            </w:pPr>
            <w:r>
              <w:rPr>
                <w:rFonts w:ascii="Arial" w:cs="Arial" w:eastAsia="Arial" w:hAnsi="Arial"/>
                <w:sz w:val="7"/>
                <w:szCs w:val="7"/>
                <w:b w:val="1"/>
                <w:bCs w:val="1"/>
                <w:color w:val="auto"/>
              </w:rPr>
              <w:t>Additional</w:t>
            </w:r>
          </w:p>
        </w:tc>
        <w:tc>
          <w:tcPr>
            <w:tcW w:w="1640" w:type="dxa"/>
            <w:vAlign w:val="bottom"/>
          </w:tcPr>
          <w:p>
            <w:pPr>
              <w:jc w:val="center"/>
              <w:spacing w:after="0" w:line="69" w:lineRule="exact"/>
              <w:rPr>
                <w:sz w:val="20"/>
                <w:szCs w:val="20"/>
                <w:color w:val="auto"/>
              </w:rPr>
            </w:pPr>
            <w:r>
              <w:rPr>
                <w:rFonts w:ascii="Arial" w:cs="Arial" w:eastAsia="Arial" w:hAnsi="Arial"/>
                <w:sz w:val="7"/>
                <w:szCs w:val="7"/>
                <w:b w:val="1"/>
                <w:bCs w:val="1"/>
                <w:color w:val="auto"/>
              </w:rPr>
              <w:t>Comprehensive</w:t>
            </w:r>
          </w:p>
        </w:tc>
        <w:tc>
          <w:tcPr>
            <w:tcW w:w="1200" w:type="dxa"/>
            <w:vAlign w:val="bottom"/>
          </w:tcPr>
          <w:p>
            <w:pPr>
              <w:ind w:left="420"/>
              <w:spacing w:after="0" w:line="69" w:lineRule="exact"/>
              <w:rPr>
                <w:sz w:val="20"/>
                <w:szCs w:val="20"/>
                <w:color w:val="auto"/>
              </w:rPr>
            </w:pPr>
            <w:r>
              <w:rPr>
                <w:rFonts w:ascii="Arial" w:cs="Arial" w:eastAsia="Arial" w:hAnsi="Arial"/>
                <w:sz w:val="7"/>
                <w:szCs w:val="7"/>
                <w:b w:val="1"/>
                <w:bCs w:val="1"/>
                <w:color w:val="auto"/>
              </w:rPr>
              <w:t>Retained</w:t>
            </w:r>
          </w:p>
        </w:tc>
        <w:tc>
          <w:tcPr>
            <w:tcW w:w="980" w:type="dxa"/>
            <w:vAlign w:val="bottom"/>
          </w:tcPr>
          <w:p>
            <w:pPr>
              <w:jc w:val="center"/>
              <w:ind w:left="355"/>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28"/>
        </w:trPr>
        <w:tc>
          <w:tcPr>
            <w:tcW w:w="700" w:type="dxa"/>
            <w:vAlign w:val="bottom"/>
          </w:tcPr>
          <w:p>
            <w:pPr>
              <w:ind w:left="400"/>
              <w:spacing w:after="0"/>
              <w:rPr>
                <w:sz w:val="20"/>
                <w:szCs w:val="20"/>
                <w:color w:val="auto"/>
              </w:rPr>
            </w:pPr>
            <w:r>
              <w:rPr>
                <w:rFonts w:ascii="Arial" w:cs="Arial" w:eastAsia="Arial" w:hAnsi="Arial"/>
                <w:sz w:val="10"/>
                <w:szCs w:val="10"/>
                <w:b w:val="1"/>
                <w:bCs w:val="1"/>
                <w:color w:val="auto"/>
                <w:w w:val="83"/>
              </w:rPr>
              <w:t>Shares</w:t>
            </w:r>
          </w:p>
        </w:tc>
        <w:tc>
          <w:tcPr>
            <w:tcW w:w="1360" w:type="dxa"/>
            <w:vAlign w:val="bottom"/>
          </w:tcPr>
          <w:p>
            <w:pPr>
              <w:ind w:left="740"/>
              <w:spacing w:after="0"/>
              <w:rPr>
                <w:sz w:val="20"/>
                <w:szCs w:val="20"/>
                <w:color w:val="auto"/>
              </w:rPr>
            </w:pPr>
            <w:r>
              <w:rPr>
                <w:rFonts w:ascii="Arial" w:cs="Arial" w:eastAsia="Arial" w:hAnsi="Arial"/>
                <w:sz w:val="10"/>
                <w:szCs w:val="10"/>
                <w:b w:val="1"/>
                <w:bCs w:val="1"/>
                <w:color w:val="auto"/>
              </w:rPr>
              <w:t>Amount</w:t>
            </w:r>
          </w:p>
        </w:tc>
        <w:tc>
          <w:tcPr>
            <w:tcW w:w="1440" w:type="dxa"/>
            <w:vAlign w:val="bottom"/>
          </w:tcPr>
          <w:p>
            <w:pPr>
              <w:jc w:val="center"/>
              <w:spacing w:after="0"/>
              <w:rPr>
                <w:sz w:val="20"/>
                <w:szCs w:val="20"/>
                <w:color w:val="auto"/>
              </w:rPr>
            </w:pPr>
            <w:r>
              <w:rPr>
                <w:rFonts w:ascii="Arial" w:cs="Arial" w:eastAsia="Arial" w:hAnsi="Arial"/>
                <w:sz w:val="10"/>
                <w:szCs w:val="10"/>
                <w:b w:val="1"/>
                <w:bCs w:val="1"/>
                <w:color w:val="auto"/>
                <w:w w:val="92"/>
              </w:rPr>
              <w:t>Paid-in Capital</w:t>
            </w:r>
          </w:p>
        </w:tc>
        <w:tc>
          <w:tcPr>
            <w:tcW w:w="1640" w:type="dxa"/>
            <w:vAlign w:val="bottom"/>
          </w:tcPr>
          <w:p>
            <w:pPr>
              <w:jc w:val="center"/>
              <w:ind w:right="15"/>
              <w:spacing w:after="0"/>
              <w:rPr>
                <w:sz w:val="20"/>
                <w:szCs w:val="20"/>
                <w:color w:val="auto"/>
              </w:rPr>
            </w:pPr>
            <w:r>
              <w:rPr>
                <w:rFonts w:ascii="Arial" w:cs="Arial" w:eastAsia="Arial" w:hAnsi="Arial"/>
                <w:sz w:val="10"/>
                <w:szCs w:val="10"/>
                <w:b w:val="1"/>
                <w:bCs w:val="1"/>
                <w:color w:val="auto"/>
                <w:w w:val="87"/>
              </w:rPr>
              <w:t>Earnings (Loss)</w:t>
            </w:r>
          </w:p>
        </w:tc>
        <w:tc>
          <w:tcPr>
            <w:tcW w:w="1200" w:type="dxa"/>
            <w:vAlign w:val="bottom"/>
          </w:tcPr>
          <w:p>
            <w:pPr>
              <w:ind w:left="400"/>
              <w:spacing w:after="0"/>
              <w:rPr>
                <w:sz w:val="20"/>
                <w:szCs w:val="20"/>
                <w:color w:val="auto"/>
              </w:rPr>
            </w:pPr>
            <w:r>
              <w:rPr>
                <w:rFonts w:ascii="Arial" w:cs="Arial" w:eastAsia="Arial" w:hAnsi="Arial"/>
                <w:sz w:val="10"/>
                <w:szCs w:val="10"/>
                <w:b w:val="1"/>
                <w:bCs w:val="1"/>
                <w:color w:val="auto"/>
              </w:rPr>
              <w:t>Earnings</w:t>
            </w:r>
          </w:p>
        </w:tc>
        <w:tc>
          <w:tcPr>
            <w:tcW w:w="980" w:type="dxa"/>
            <w:vAlign w:val="bottom"/>
          </w:tcPr>
          <w:p>
            <w:pPr>
              <w:jc w:val="center"/>
              <w:ind w:left="335"/>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76770" cy="104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770" cy="10477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tbl>
      <w:tblPr>
        <w:tblLayout w:type="fixed"/>
        <w:tblInd w:w="0" w:type="dxa"/>
        <w:tblCellMar>
          <w:top w:w="0" w:type="dxa"/>
          <w:left w:w="0" w:type="dxa"/>
          <w:bottom w:w="0" w:type="dxa"/>
          <w:right w:w="0" w:type="dxa"/>
        </w:tblCellMar>
      </w:tblPr>
      <w:tr>
        <w:trPr>
          <w:trHeight w:val="148"/>
        </w:trPr>
        <w:tc>
          <w:tcPr>
            <w:tcW w:w="3620" w:type="dxa"/>
            <w:vAlign w:val="bottom"/>
          </w:tcPr>
          <w:p>
            <w:pPr>
              <w:spacing w:after="0"/>
              <w:rPr>
                <w:sz w:val="20"/>
                <w:szCs w:val="20"/>
                <w:color w:val="auto"/>
              </w:rPr>
            </w:pPr>
            <w:r>
              <w:rPr>
                <w:rFonts w:ascii="Arial" w:cs="Arial" w:eastAsia="Arial" w:hAnsi="Arial"/>
                <w:sz w:val="12"/>
                <w:szCs w:val="12"/>
                <w:b w:val="1"/>
                <w:bCs w:val="1"/>
                <w:color w:val="auto"/>
              </w:rPr>
              <w:t>Balance, December 31, 2020</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52,868,482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3620" w:type="dxa"/>
            <w:vAlign w:val="bottom"/>
          </w:tcPr>
          <w:p>
            <w:pPr>
              <w:ind w:left="60"/>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60"/>
              <w:spacing w:after="0"/>
              <w:rPr>
                <w:sz w:val="20"/>
                <w:szCs w:val="20"/>
                <w:color w:val="auto"/>
              </w:rPr>
            </w:pPr>
            <w:r>
              <w:rPr>
                <w:rFonts w:ascii="Arial" w:cs="Arial" w:eastAsia="Arial" w:hAnsi="Arial"/>
                <w:sz w:val="12"/>
                <w:szCs w:val="12"/>
                <w:color w:val="auto"/>
                <w:w w:val="97"/>
              </w:rPr>
              <w:t>Issuance of common stock under the Company’s equity award plans</w:t>
            </w:r>
          </w:p>
        </w:tc>
        <w:tc>
          <w:tcPr>
            <w:tcW w:w="1080" w:type="dxa"/>
            <w:vAlign w:val="bottom"/>
          </w:tcPr>
          <w:p>
            <w:pPr>
              <w:jc w:val="right"/>
              <w:spacing w:after="0"/>
              <w:rPr>
                <w:sz w:val="20"/>
                <w:szCs w:val="20"/>
                <w:color w:val="auto"/>
              </w:rPr>
            </w:pPr>
            <w:r>
              <w:rPr>
                <w:rFonts w:ascii="Arial" w:cs="Arial" w:eastAsia="Arial" w:hAnsi="Arial"/>
                <w:sz w:val="12"/>
                <w:szCs w:val="12"/>
                <w:color w:val="auto"/>
              </w:rPr>
              <w:t>125,655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60"/>
              <w:spacing w:after="0"/>
              <w:rPr>
                <w:sz w:val="20"/>
                <w:szCs w:val="20"/>
                <w:color w:val="auto"/>
              </w:rPr>
            </w:pPr>
            <w:r>
              <w:rPr>
                <w:rFonts w:ascii="Arial" w:cs="Arial" w:eastAsia="Arial" w:hAnsi="Arial"/>
                <w:sz w:val="12"/>
                <w:szCs w:val="12"/>
                <w:color w:val="auto"/>
              </w:rPr>
              <w:t>Net earnings</w:t>
            </w:r>
          </w:p>
        </w:tc>
        <w:tc>
          <w:tcPr>
            <w:tcW w:w="11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60"/>
              <w:spacing w:after="0"/>
              <w:rPr>
                <w:sz w:val="20"/>
                <w:szCs w:val="20"/>
                <w:color w:val="auto"/>
              </w:rPr>
            </w:pPr>
            <w:r>
              <w:rPr>
                <w:rFonts w:ascii="Arial" w:cs="Arial" w:eastAsia="Arial" w:hAnsi="Arial"/>
                <w:sz w:val="12"/>
                <w:szCs w:val="12"/>
                <w:color w:val="auto"/>
              </w:rPr>
              <w:t>Unrealized loss on marketable securities, net of tax</w:t>
            </w:r>
          </w:p>
        </w:tc>
        <w:tc>
          <w:tcPr>
            <w:tcW w:w="11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45"/>
        </w:trPr>
        <w:tc>
          <w:tcPr>
            <w:tcW w:w="3620" w:type="dxa"/>
            <w:vAlign w:val="bottom"/>
          </w:tcPr>
          <w:p>
            <w:pPr>
              <w:spacing w:after="0"/>
              <w:rPr>
                <w:sz w:val="20"/>
                <w:szCs w:val="20"/>
                <w:color w:val="auto"/>
              </w:rPr>
            </w:pPr>
            <w:r>
              <w:rPr>
                <w:rFonts w:ascii="Arial" w:cs="Arial" w:eastAsia="Arial" w:hAnsi="Arial"/>
                <w:sz w:val="12"/>
                <w:szCs w:val="12"/>
                <w:b w:val="1"/>
                <w:bCs w:val="1"/>
                <w:color w:val="auto"/>
              </w:rPr>
              <w:t>Balance, March 31, 2021</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52,994,137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3620" w:type="dxa"/>
            <w:vAlign w:val="bottom"/>
          </w:tcPr>
          <w:p>
            <w:pPr>
              <w:ind w:left="60"/>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60"/>
              <w:spacing w:after="0"/>
              <w:rPr>
                <w:sz w:val="20"/>
                <w:szCs w:val="20"/>
                <w:color w:val="auto"/>
              </w:rPr>
            </w:pPr>
            <w:r>
              <w:rPr>
                <w:rFonts w:ascii="Arial" w:cs="Arial" w:eastAsia="Arial" w:hAnsi="Arial"/>
                <w:sz w:val="12"/>
                <w:szCs w:val="12"/>
                <w:color w:val="auto"/>
                <w:w w:val="97"/>
              </w:rPr>
              <w:t>Issuance of common stock under the Company’s equity award plans</w:t>
            </w:r>
          </w:p>
        </w:tc>
        <w:tc>
          <w:tcPr>
            <w:tcW w:w="1080" w:type="dxa"/>
            <w:vAlign w:val="bottom"/>
          </w:tcPr>
          <w:p>
            <w:pPr>
              <w:jc w:val="right"/>
              <w:spacing w:after="0"/>
              <w:rPr>
                <w:sz w:val="20"/>
                <w:szCs w:val="20"/>
                <w:color w:val="auto"/>
              </w:rPr>
            </w:pPr>
            <w:r>
              <w:rPr>
                <w:rFonts w:ascii="Arial" w:cs="Arial" w:eastAsia="Arial" w:hAnsi="Arial"/>
                <w:sz w:val="12"/>
                <w:szCs w:val="12"/>
                <w:color w:val="auto"/>
              </w:rPr>
              <w:t>150,622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60"/>
              <w:spacing w:after="0"/>
              <w:rPr>
                <w:sz w:val="20"/>
                <w:szCs w:val="20"/>
                <w:color w:val="auto"/>
              </w:rPr>
            </w:pPr>
            <w:r>
              <w:rPr>
                <w:rFonts w:ascii="Arial" w:cs="Arial" w:eastAsia="Arial" w:hAnsi="Arial"/>
                <w:sz w:val="12"/>
                <w:szCs w:val="12"/>
                <w:color w:val="auto"/>
              </w:rPr>
              <w:t>Net earnings</w:t>
            </w:r>
          </w:p>
        </w:tc>
        <w:tc>
          <w:tcPr>
            <w:tcW w:w="11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60"/>
              <w:spacing w:after="0"/>
              <w:rPr>
                <w:sz w:val="20"/>
                <w:szCs w:val="20"/>
                <w:color w:val="auto"/>
              </w:rPr>
            </w:pPr>
            <w:r>
              <w:rPr>
                <w:rFonts w:ascii="Arial" w:cs="Arial" w:eastAsia="Arial" w:hAnsi="Arial"/>
                <w:sz w:val="12"/>
                <w:szCs w:val="12"/>
                <w:color w:val="auto"/>
              </w:rPr>
              <w:t>Unrealized loss on marketable securities, net of tax</w:t>
            </w:r>
          </w:p>
        </w:tc>
        <w:tc>
          <w:tcPr>
            <w:tcW w:w="11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45"/>
        </w:trPr>
        <w:tc>
          <w:tcPr>
            <w:tcW w:w="3620" w:type="dxa"/>
            <w:vAlign w:val="bottom"/>
          </w:tcPr>
          <w:p>
            <w:pPr>
              <w:spacing w:after="0"/>
              <w:rPr>
                <w:sz w:val="20"/>
                <w:szCs w:val="20"/>
                <w:color w:val="auto"/>
              </w:rPr>
            </w:pPr>
            <w:r>
              <w:rPr>
                <w:rFonts w:ascii="Arial" w:cs="Arial" w:eastAsia="Arial" w:hAnsi="Arial"/>
                <w:sz w:val="12"/>
                <w:szCs w:val="12"/>
                <w:b w:val="1"/>
                <w:bCs w:val="1"/>
                <w:color w:val="auto"/>
              </w:rPr>
              <w:t>Balance, June 30, 2021</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53,144,759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w w:val="97"/>
              </w:rPr>
              <w:t>Issuance of common stock under the Company’s equity award plans</w:t>
            </w:r>
          </w:p>
        </w:tc>
        <w:tc>
          <w:tcPr>
            <w:tcW w:w="1080" w:type="dxa"/>
            <w:vAlign w:val="bottom"/>
          </w:tcPr>
          <w:p>
            <w:pPr>
              <w:jc w:val="right"/>
              <w:spacing w:after="0"/>
              <w:rPr>
                <w:sz w:val="20"/>
                <w:szCs w:val="20"/>
                <w:color w:val="auto"/>
              </w:rPr>
            </w:pPr>
            <w:r>
              <w:rPr>
                <w:rFonts w:ascii="Arial" w:cs="Arial" w:eastAsia="Arial" w:hAnsi="Arial"/>
                <w:sz w:val="12"/>
                <w:szCs w:val="12"/>
                <w:color w:val="auto"/>
              </w:rPr>
              <w:t>35,884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rPr>
              <w:t>Net earnings</w:t>
            </w:r>
          </w:p>
        </w:tc>
        <w:tc>
          <w:tcPr>
            <w:tcW w:w="11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rPr>
              <w:t>Unrealized loss on marketable securities, net of tax</w:t>
            </w:r>
          </w:p>
        </w:tc>
        <w:tc>
          <w:tcPr>
            <w:tcW w:w="11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45"/>
        </w:trPr>
        <w:tc>
          <w:tcPr>
            <w:tcW w:w="3620" w:type="dxa"/>
            <w:vAlign w:val="bottom"/>
          </w:tcPr>
          <w:p>
            <w:pPr>
              <w:spacing w:after="0"/>
              <w:rPr>
                <w:sz w:val="20"/>
                <w:szCs w:val="20"/>
                <w:color w:val="auto"/>
              </w:rPr>
            </w:pPr>
            <w:r>
              <w:rPr>
                <w:rFonts w:ascii="Arial" w:cs="Arial" w:eastAsia="Arial" w:hAnsi="Arial"/>
                <w:sz w:val="12"/>
                <w:szCs w:val="12"/>
                <w:b w:val="1"/>
                <w:bCs w:val="1"/>
                <w:color w:val="auto"/>
              </w:rPr>
              <w:t>Balance, September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53,180,643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76"/>
        </w:trPr>
        <w:tc>
          <w:tcPr>
            <w:tcW w:w="3620" w:type="dxa"/>
            <w:vAlign w:val="bottom"/>
          </w:tcPr>
          <w:p>
            <w:pPr>
              <w:spacing w:after="0"/>
              <w:rPr>
                <w:sz w:val="24"/>
                <w:szCs w:val="24"/>
                <w:color w:val="auto"/>
              </w:rPr>
            </w:pPr>
          </w:p>
        </w:tc>
        <w:tc>
          <w:tcPr>
            <w:tcW w:w="14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0"/>
                <w:szCs w:val="10"/>
                <w:b w:val="1"/>
                <w:bCs w:val="1"/>
                <w:color w:val="auto"/>
              </w:rPr>
              <w:t>Common Stock</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2"/>
        </w:trPr>
        <w:tc>
          <w:tcPr>
            <w:tcW w:w="3620" w:type="dxa"/>
            <w:vAlign w:val="bottom"/>
          </w:tcPr>
          <w:p>
            <w:pPr>
              <w:spacing w:after="0"/>
              <w:rPr>
                <w:sz w:val="10"/>
                <w:szCs w:val="10"/>
                <w:color w:val="auto"/>
              </w:rPr>
            </w:pPr>
          </w:p>
        </w:tc>
        <w:tc>
          <w:tcPr>
            <w:tcW w:w="1100" w:type="dxa"/>
            <w:vAlign w:val="bottom"/>
            <w:tcBorders>
              <w:bottom w:val="single" w:sz="8" w:color="auto"/>
            </w:tcBorders>
            <w:gridSpan w:val="2"/>
          </w:tcPr>
          <w:p>
            <w:pPr>
              <w:ind w:left="4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10"/>
                <w:szCs w:val="10"/>
                <w:color w:val="auto"/>
              </w:rPr>
            </w:pPr>
          </w:p>
        </w:tc>
      </w:tr>
      <w:tr>
        <w:trPr>
          <w:trHeight w:val="153"/>
        </w:trPr>
        <w:tc>
          <w:tcPr>
            <w:tcW w:w="3620" w:type="dxa"/>
            <w:vAlign w:val="bottom"/>
          </w:tcPr>
          <w:p>
            <w:pPr>
              <w:spacing w:after="0"/>
              <w:rPr>
                <w:sz w:val="20"/>
                <w:szCs w:val="20"/>
                <w:color w:val="auto"/>
              </w:rPr>
            </w:pPr>
            <w:r>
              <w:rPr>
                <w:rFonts w:ascii="Arial" w:cs="Arial" w:eastAsia="Arial" w:hAnsi="Arial"/>
                <w:sz w:val="12"/>
                <w:szCs w:val="12"/>
                <w:b w:val="1"/>
                <w:bCs w:val="1"/>
                <w:color w:val="auto"/>
              </w:rPr>
              <w:t>Balance, December 31, 2019</w:t>
            </w:r>
          </w:p>
        </w:tc>
        <w:tc>
          <w:tcPr>
            <w:tcW w:w="1080" w:type="dxa"/>
            <w:vAlign w:val="bottom"/>
          </w:tcPr>
          <w:p>
            <w:pPr>
              <w:jc w:val="right"/>
              <w:spacing w:after="0"/>
              <w:rPr>
                <w:sz w:val="20"/>
                <w:szCs w:val="20"/>
                <w:color w:val="auto"/>
              </w:rPr>
            </w:pPr>
            <w:r>
              <w:rPr>
                <w:rFonts w:ascii="Arial" w:cs="Arial" w:eastAsia="Arial" w:hAnsi="Arial"/>
                <w:sz w:val="12"/>
                <w:szCs w:val="12"/>
                <w:color w:val="auto"/>
              </w:rPr>
              <w:t>52,533,348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w w:val="97"/>
              </w:rPr>
              <w:t>Issuance of common stock under the Company’s equity award plans</w:t>
            </w:r>
          </w:p>
        </w:tc>
        <w:tc>
          <w:tcPr>
            <w:tcW w:w="1080" w:type="dxa"/>
            <w:vAlign w:val="bottom"/>
          </w:tcPr>
          <w:p>
            <w:pPr>
              <w:jc w:val="right"/>
              <w:spacing w:after="0"/>
              <w:rPr>
                <w:sz w:val="20"/>
                <w:szCs w:val="20"/>
                <w:color w:val="auto"/>
              </w:rPr>
            </w:pPr>
            <w:r>
              <w:rPr>
                <w:rFonts w:ascii="Arial" w:cs="Arial" w:eastAsia="Arial" w:hAnsi="Arial"/>
                <w:sz w:val="12"/>
                <w:szCs w:val="12"/>
                <w:color w:val="auto"/>
              </w:rPr>
              <w:t>3,811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rPr>
              <w:t>Net earnings</w:t>
            </w:r>
          </w:p>
        </w:tc>
        <w:tc>
          <w:tcPr>
            <w:tcW w:w="11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rPr>
              <w:t>Unrealized loss on marketable securities, net of tax</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45"/>
        </w:trPr>
        <w:tc>
          <w:tcPr>
            <w:tcW w:w="3620" w:type="dxa"/>
            <w:vAlign w:val="bottom"/>
          </w:tcPr>
          <w:p>
            <w:pPr>
              <w:spacing w:after="0"/>
              <w:rPr>
                <w:sz w:val="20"/>
                <w:szCs w:val="20"/>
                <w:color w:val="auto"/>
              </w:rPr>
            </w:pPr>
            <w:r>
              <w:rPr>
                <w:rFonts w:ascii="Arial" w:cs="Arial" w:eastAsia="Arial" w:hAnsi="Arial"/>
                <w:sz w:val="12"/>
                <w:szCs w:val="12"/>
                <w:b w:val="1"/>
                <w:bCs w:val="1"/>
                <w:color w:val="auto"/>
              </w:rPr>
              <w:t>Balance, March 31, 2020</w:t>
            </w:r>
          </w:p>
        </w:tc>
        <w:tc>
          <w:tcPr>
            <w:tcW w:w="1080" w:type="dxa"/>
            <w:vAlign w:val="bottom"/>
          </w:tcPr>
          <w:p>
            <w:pPr>
              <w:jc w:val="right"/>
              <w:spacing w:after="0"/>
              <w:rPr>
                <w:sz w:val="20"/>
                <w:szCs w:val="20"/>
                <w:color w:val="auto"/>
              </w:rPr>
            </w:pPr>
            <w:r>
              <w:rPr>
                <w:rFonts w:ascii="Arial" w:cs="Arial" w:eastAsia="Arial" w:hAnsi="Arial"/>
                <w:sz w:val="12"/>
                <w:szCs w:val="12"/>
                <w:color w:val="auto"/>
              </w:rPr>
              <w:t>52,537,159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3620" w:type="dxa"/>
            <w:vAlign w:val="bottom"/>
          </w:tcPr>
          <w:p>
            <w:pPr>
              <w:ind w:left="120"/>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w w:val="97"/>
              </w:rPr>
              <w:t>Issuance of common stock under the Company’s equity award plans</w:t>
            </w:r>
          </w:p>
        </w:tc>
        <w:tc>
          <w:tcPr>
            <w:tcW w:w="1080" w:type="dxa"/>
            <w:vAlign w:val="bottom"/>
          </w:tcPr>
          <w:p>
            <w:pPr>
              <w:jc w:val="right"/>
              <w:spacing w:after="0"/>
              <w:rPr>
                <w:sz w:val="20"/>
                <w:szCs w:val="20"/>
                <w:color w:val="auto"/>
              </w:rPr>
            </w:pPr>
            <w:r>
              <w:rPr>
                <w:rFonts w:ascii="Arial" w:cs="Arial" w:eastAsia="Arial" w:hAnsi="Arial"/>
                <w:sz w:val="12"/>
                <w:szCs w:val="12"/>
                <w:color w:val="auto"/>
              </w:rPr>
              <w:t>86,925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120"/>
              <w:spacing w:after="0"/>
              <w:rPr>
                <w:sz w:val="20"/>
                <w:szCs w:val="20"/>
                <w:color w:val="auto"/>
              </w:rPr>
            </w:pPr>
            <w:r>
              <w:rPr>
                <w:rFonts w:ascii="Arial" w:cs="Arial" w:eastAsia="Arial" w:hAnsi="Arial"/>
                <w:sz w:val="12"/>
                <w:szCs w:val="12"/>
                <w:color w:val="auto"/>
              </w:rPr>
              <w:t>Net earnings</w:t>
            </w:r>
          </w:p>
        </w:tc>
        <w:tc>
          <w:tcPr>
            <w:tcW w:w="11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120"/>
              <w:spacing w:after="0"/>
              <w:rPr>
                <w:sz w:val="20"/>
                <w:szCs w:val="20"/>
                <w:color w:val="auto"/>
              </w:rPr>
            </w:pPr>
            <w:r>
              <w:rPr>
                <w:rFonts w:ascii="Arial" w:cs="Arial" w:eastAsia="Arial" w:hAnsi="Arial"/>
                <w:sz w:val="12"/>
                <w:szCs w:val="12"/>
                <w:color w:val="auto"/>
              </w:rPr>
              <w:t>Unrealized gain on marketable securities, net of tax</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45"/>
        </w:trPr>
        <w:tc>
          <w:tcPr>
            <w:tcW w:w="3620" w:type="dxa"/>
            <w:vAlign w:val="bottom"/>
          </w:tcPr>
          <w:p>
            <w:pPr>
              <w:spacing w:after="0"/>
              <w:rPr>
                <w:sz w:val="20"/>
                <w:szCs w:val="20"/>
                <w:color w:val="auto"/>
              </w:rPr>
            </w:pPr>
            <w:r>
              <w:rPr>
                <w:rFonts w:ascii="Arial" w:cs="Arial" w:eastAsia="Arial" w:hAnsi="Arial"/>
                <w:sz w:val="12"/>
                <w:szCs w:val="12"/>
                <w:b w:val="1"/>
                <w:bCs w:val="1"/>
                <w:color w:val="auto"/>
              </w:rPr>
              <w:t>Balance, June 30, 2020</w:t>
            </w:r>
          </w:p>
        </w:tc>
        <w:tc>
          <w:tcPr>
            <w:tcW w:w="1080" w:type="dxa"/>
            <w:vAlign w:val="bottom"/>
          </w:tcPr>
          <w:p>
            <w:pPr>
              <w:jc w:val="right"/>
              <w:spacing w:after="0"/>
              <w:rPr>
                <w:sz w:val="20"/>
                <w:szCs w:val="20"/>
                <w:color w:val="auto"/>
              </w:rPr>
            </w:pPr>
            <w:r>
              <w:rPr>
                <w:rFonts w:ascii="Arial" w:cs="Arial" w:eastAsia="Arial" w:hAnsi="Arial"/>
                <w:sz w:val="12"/>
                <w:szCs w:val="12"/>
                <w:color w:val="auto"/>
              </w:rPr>
              <w:t>52,624,084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w w:val="97"/>
              </w:rPr>
              <w:t>Issuance of common stock under the Company’s equity award plans</w:t>
            </w:r>
          </w:p>
        </w:tc>
        <w:tc>
          <w:tcPr>
            <w:tcW w:w="1080" w:type="dxa"/>
            <w:vAlign w:val="bottom"/>
          </w:tcPr>
          <w:p>
            <w:pPr>
              <w:jc w:val="right"/>
              <w:spacing w:after="0"/>
              <w:rPr>
                <w:sz w:val="20"/>
                <w:szCs w:val="20"/>
                <w:color w:val="auto"/>
              </w:rPr>
            </w:pPr>
            <w:r>
              <w:rPr>
                <w:rFonts w:ascii="Arial" w:cs="Arial" w:eastAsia="Arial" w:hAnsi="Arial"/>
                <w:sz w:val="12"/>
                <w:szCs w:val="12"/>
                <w:color w:val="auto"/>
              </w:rPr>
              <w:t>46,037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rPr>
              <w:t>Net earnings</w:t>
            </w:r>
          </w:p>
        </w:tc>
        <w:tc>
          <w:tcPr>
            <w:tcW w:w="11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56"/>
        </w:trPr>
        <w:tc>
          <w:tcPr>
            <w:tcW w:w="3620" w:type="dxa"/>
            <w:vAlign w:val="bottom"/>
          </w:tcPr>
          <w:p>
            <w:pPr>
              <w:ind w:left="80"/>
              <w:spacing w:after="0"/>
              <w:rPr>
                <w:sz w:val="20"/>
                <w:szCs w:val="20"/>
                <w:color w:val="auto"/>
              </w:rPr>
            </w:pPr>
            <w:r>
              <w:rPr>
                <w:rFonts w:ascii="Arial" w:cs="Arial" w:eastAsia="Arial" w:hAnsi="Arial"/>
                <w:sz w:val="12"/>
                <w:szCs w:val="12"/>
                <w:color w:val="auto"/>
              </w:rPr>
              <w:t>Unrealized loss on marketable securities, net of tax</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r>
      <w:tr>
        <w:trPr>
          <w:trHeight w:val="145"/>
        </w:trPr>
        <w:tc>
          <w:tcPr>
            <w:tcW w:w="3620" w:type="dxa"/>
            <w:vAlign w:val="bottom"/>
          </w:tcPr>
          <w:p>
            <w:pPr>
              <w:spacing w:after="0"/>
              <w:rPr>
                <w:sz w:val="20"/>
                <w:szCs w:val="20"/>
                <w:color w:val="auto"/>
              </w:rPr>
            </w:pPr>
            <w:r>
              <w:rPr>
                <w:rFonts w:ascii="Arial" w:cs="Arial" w:eastAsia="Arial" w:hAnsi="Arial"/>
                <w:sz w:val="12"/>
                <w:szCs w:val="12"/>
                <w:b w:val="1"/>
                <w:bCs w:val="1"/>
                <w:color w:val="auto"/>
              </w:rPr>
              <w:t>Balance, September 30, 2020</w:t>
            </w:r>
          </w:p>
        </w:tc>
        <w:tc>
          <w:tcPr>
            <w:tcW w:w="1080" w:type="dxa"/>
            <w:vAlign w:val="bottom"/>
          </w:tcPr>
          <w:p>
            <w:pPr>
              <w:jc w:val="right"/>
              <w:spacing w:after="0"/>
              <w:rPr>
                <w:sz w:val="20"/>
                <w:szCs w:val="20"/>
                <w:color w:val="auto"/>
              </w:rPr>
            </w:pPr>
            <w:r>
              <w:rPr>
                <w:rFonts w:ascii="Arial" w:cs="Arial" w:eastAsia="Arial" w:hAnsi="Arial"/>
                <w:sz w:val="12"/>
                <w:szCs w:val="12"/>
                <w:color w:val="auto"/>
              </w:rPr>
              <w:t>52,670,121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-3462655</wp:posOffset>
            </wp:positionV>
            <wp:extent cx="7176770" cy="99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-3265170</wp:posOffset>
            </wp:positionV>
            <wp:extent cx="7176770" cy="99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-3061970</wp:posOffset>
            </wp:positionV>
            <wp:extent cx="7176770" cy="99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-2863850</wp:posOffset>
            </wp:positionV>
            <wp:extent cx="7176770" cy="99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-2463165</wp:posOffset>
            </wp:positionV>
            <wp:extent cx="7176770" cy="99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-2265680</wp:posOffset>
            </wp:positionV>
            <wp:extent cx="7176770" cy="99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-2666365</wp:posOffset>
            </wp:positionV>
            <wp:extent cx="7176770" cy="104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770" cy="1047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-1423035</wp:posOffset>
            </wp:positionV>
            <wp:extent cx="7176770" cy="99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-1225550</wp:posOffset>
            </wp:positionV>
            <wp:extent cx="7176770" cy="99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-1022350</wp:posOffset>
            </wp:positionV>
            <wp:extent cx="7176770" cy="99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-824230</wp:posOffset>
            </wp:positionV>
            <wp:extent cx="7176770" cy="99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-423545</wp:posOffset>
            </wp:positionV>
            <wp:extent cx="7176770" cy="99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-226060</wp:posOffset>
            </wp:positionV>
            <wp:extent cx="7176770" cy="99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770"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-626745</wp:posOffset>
            </wp:positionV>
            <wp:extent cx="7176770" cy="104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1047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-1626235</wp:posOffset>
            </wp:positionV>
            <wp:extent cx="7176770" cy="104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104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409,332</w:t>
            </w:r>
          </w:p>
        </w:tc>
        <w:tc>
          <w:tcPr>
            <w:tcW w:w="1220" w:type="dxa"/>
            <w:vAlign w:val="bottom"/>
            <w:tcBorders>
              <w:top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8,975</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326,498</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744,858</w:t>
            </w:r>
          </w:p>
        </w:tc>
        <w:tc>
          <w:tcPr>
            <w:tcW w:w="0" w:type="dxa"/>
            <w:vAlign w:val="bottom"/>
          </w:tcPr>
          <w:p>
            <w:pPr>
              <w:spacing w:after="0"/>
              <w:rPr>
                <w:sz w:val="1"/>
                <w:szCs w:val="1"/>
                <w:color w:val="auto"/>
              </w:rPr>
            </w:pPr>
          </w:p>
        </w:tc>
      </w:tr>
      <w:tr>
        <w:trPr>
          <w:trHeight w:val="155"/>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4,371</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4,371</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2,247</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2,247</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5,694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5,694</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9"/>
              </w:rPr>
              <w:t>(2,726)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(2,726)</w:t>
            </w:r>
          </w:p>
        </w:tc>
        <w:tc>
          <w:tcPr>
            <w:tcW w:w="0" w:type="dxa"/>
            <w:vAlign w:val="bottom"/>
          </w:tcPr>
          <w:p>
            <w:pPr>
              <w:spacing w:after="0"/>
              <w:rPr>
                <w:sz w:val="1"/>
                <w:szCs w:val="1"/>
                <w:color w:val="auto"/>
              </w:rPr>
            </w:pPr>
          </w:p>
        </w:tc>
      </w:tr>
      <w:tr>
        <w:trPr>
          <w:trHeight w:val="145"/>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415,950</w:t>
            </w:r>
          </w:p>
        </w:tc>
        <w:tc>
          <w:tcPr>
            <w:tcW w:w="1220" w:type="dxa"/>
            <w:vAlign w:val="bottom"/>
            <w:tcBorders>
              <w:top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6,249</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332,192</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754,444</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5,476</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5,476</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2,749</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2,749</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23,726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23,726</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(816)</w:t>
            </w:r>
          </w:p>
        </w:tc>
        <w:tc>
          <w:tcPr>
            <w:tcW w:w="0" w:type="dxa"/>
            <w:vAlign w:val="bottom"/>
          </w:tcPr>
          <w:p>
            <w:pPr>
              <w:spacing w:after="0"/>
              <w:rPr>
                <w:sz w:val="1"/>
                <w:szCs w:val="1"/>
                <w:color w:val="auto"/>
              </w:rPr>
            </w:pPr>
          </w:p>
        </w:tc>
      </w:tr>
      <w:tr>
        <w:trPr>
          <w:trHeight w:val="145"/>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424,175</w:t>
            </w:r>
          </w:p>
        </w:tc>
        <w:tc>
          <w:tcPr>
            <w:tcW w:w="1220" w:type="dxa"/>
            <w:vAlign w:val="bottom"/>
            <w:tcBorders>
              <w:top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5,433</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355,918</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785,579</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4,027</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4,027</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524</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524</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21,562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21,562</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9"/>
              </w:rPr>
              <w:t>(1,224)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(1,224)</w:t>
            </w:r>
          </w:p>
        </w:tc>
        <w:tc>
          <w:tcPr>
            <w:tcW w:w="0" w:type="dxa"/>
            <w:vAlign w:val="bottom"/>
          </w:tcPr>
          <w:p>
            <w:pPr>
              <w:spacing w:after="0"/>
              <w:rPr>
                <w:sz w:val="1"/>
                <w:szCs w:val="1"/>
                <w:color w:val="auto"/>
              </w:rPr>
            </w:pPr>
          </w:p>
        </w:tc>
      </w:tr>
      <w:tr>
        <w:trPr>
          <w:trHeight w:val="145"/>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428,726</w:t>
            </w:r>
          </w:p>
        </w:tc>
        <w:tc>
          <w:tcPr>
            <w:tcW w:w="12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4,209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377,480</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810,468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040" w:type="dxa"/>
            <w:vAlign w:val="bottom"/>
            <w:vMerge w:val="restart"/>
          </w:tcPr>
          <w:p>
            <w:pPr>
              <w:jc w:val="right"/>
              <w:ind w:right="460"/>
              <w:spacing w:after="0"/>
              <w:rPr>
                <w:sz w:val="20"/>
                <w:szCs w:val="20"/>
                <w:color w:val="auto"/>
              </w:rPr>
            </w:pPr>
            <w:r>
              <w:rPr>
                <w:rFonts w:ascii="Arial" w:cs="Arial" w:eastAsia="Arial" w:hAnsi="Arial"/>
                <w:sz w:val="10"/>
                <w:szCs w:val="10"/>
                <w:b w:val="1"/>
                <w:bCs w:val="1"/>
                <w:color w:val="auto"/>
              </w:rPr>
              <w:t>Additional</w:t>
            </w:r>
          </w:p>
        </w:tc>
        <w:tc>
          <w:tcPr>
            <w:tcW w:w="1220" w:type="dxa"/>
            <w:vAlign w:val="bottom"/>
          </w:tcPr>
          <w:p>
            <w:pPr>
              <w:jc w:val="right"/>
              <w:spacing w:after="0"/>
              <w:rPr>
                <w:sz w:val="20"/>
                <w:szCs w:val="20"/>
                <w:color w:val="auto"/>
              </w:rPr>
            </w:pPr>
            <w:r>
              <w:rPr>
                <w:rFonts w:ascii="Arial" w:cs="Arial" w:eastAsia="Arial" w:hAnsi="Arial"/>
                <w:sz w:val="10"/>
                <w:szCs w:val="10"/>
                <w:b w:val="1"/>
                <w:bCs w:val="1"/>
                <w:color w:val="auto"/>
              </w:rPr>
              <w:t>Accumulated 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Retained</w:t>
            </w:r>
          </w:p>
        </w:tc>
        <w:tc>
          <w:tcPr>
            <w:tcW w:w="220" w:type="dxa"/>
            <w:vAlign w:val="bottom"/>
          </w:tcPr>
          <w:p>
            <w:pPr>
              <w:spacing w:after="0"/>
              <w:rPr>
                <w:sz w:val="24"/>
                <w:szCs w:val="24"/>
                <w:color w:val="auto"/>
              </w:rPr>
            </w:pPr>
          </w:p>
        </w:tc>
        <w:tc>
          <w:tcPr>
            <w:tcW w:w="1080" w:type="dxa"/>
            <w:vAlign w:val="bottom"/>
          </w:tcPr>
          <w:p>
            <w:pPr>
              <w:jc w:val="center"/>
              <w:ind w:right="16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2"/>
        </w:trPr>
        <w:tc>
          <w:tcPr>
            <w:tcW w:w="1040" w:type="dxa"/>
            <w:vAlign w:val="bottom"/>
            <w:vMerge w:val="continue"/>
          </w:tcPr>
          <w:p>
            <w:pPr>
              <w:spacing w:after="0"/>
              <w:rPr>
                <w:sz w:val="7"/>
                <w:szCs w:val="7"/>
                <w:color w:val="auto"/>
              </w:rPr>
            </w:pPr>
          </w:p>
        </w:tc>
        <w:tc>
          <w:tcPr>
            <w:tcW w:w="1220" w:type="dxa"/>
            <w:vAlign w:val="bottom"/>
          </w:tcPr>
          <w:p>
            <w:pPr>
              <w:jc w:val="right"/>
              <w:ind w:right="50"/>
              <w:spacing w:after="0" w:line="92" w:lineRule="exact"/>
              <w:rPr>
                <w:sz w:val="20"/>
                <w:szCs w:val="20"/>
                <w:color w:val="auto"/>
              </w:rPr>
            </w:pPr>
            <w:r>
              <w:rPr>
                <w:rFonts w:ascii="Arial" w:cs="Arial" w:eastAsia="Arial" w:hAnsi="Arial"/>
                <w:sz w:val="10"/>
                <w:szCs w:val="10"/>
                <w:b w:val="1"/>
                <w:bCs w:val="1"/>
                <w:color w:val="auto"/>
              </w:rPr>
              <w:t>Comprehensive</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jc w:val="center"/>
              <w:ind w:right="160"/>
              <w:spacing w:after="0" w:line="92" w:lineRule="exact"/>
              <w:rPr>
                <w:sz w:val="20"/>
                <w:szCs w:val="20"/>
                <w:color w:val="auto"/>
              </w:rPr>
            </w:pPr>
            <w:r>
              <w:rPr>
                <w:rFonts w:ascii="Arial" w:cs="Arial" w:eastAsia="Arial" w:hAnsi="Arial"/>
                <w:sz w:val="10"/>
                <w:szCs w:val="10"/>
                <w:b w:val="1"/>
                <w:bCs w:val="1"/>
                <w:color w:val="auto"/>
                <w:w w:val="87"/>
              </w:rPr>
              <w:t>Stockholders’</w:t>
            </w:r>
          </w:p>
        </w:tc>
        <w:tc>
          <w:tcPr>
            <w:tcW w:w="0" w:type="dxa"/>
            <w:vAlign w:val="bottom"/>
          </w:tcPr>
          <w:p>
            <w:pPr>
              <w:spacing w:after="0"/>
              <w:rPr>
                <w:sz w:val="1"/>
                <w:szCs w:val="1"/>
                <w:color w:val="auto"/>
              </w:rPr>
            </w:pPr>
          </w:p>
        </w:tc>
      </w:tr>
      <w:tr>
        <w:trPr>
          <w:trHeight w:val="125"/>
        </w:trPr>
        <w:tc>
          <w:tcPr>
            <w:tcW w:w="1040" w:type="dxa"/>
            <w:vAlign w:val="bottom"/>
          </w:tcPr>
          <w:p>
            <w:pPr>
              <w:jc w:val="right"/>
              <w:ind w:right="340"/>
              <w:spacing w:after="0"/>
              <w:rPr>
                <w:sz w:val="20"/>
                <w:szCs w:val="20"/>
                <w:color w:val="auto"/>
              </w:rPr>
            </w:pPr>
            <w:r>
              <w:rPr>
                <w:rFonts w:ascii="Arial" w:cs="Arial" w:eastAsia="Arial" w:hAnsi="Arial"/>
                <w:sz w:val="10"/>
                <w:szCs w:val="10"/>
                <w:b w:val="1"/>
                <w:bCs w:val="1"/>
                <w:color w:val="auto"/>
                <w:w w:val="89"/>
              </w:rPr>
              <w:t>Paid-in Capital</w:t>
            </w:r>
          </w:p>
        </w:tc>
        <w:tc>
          <w:tcPr>
            <w:tcW w:w="1220" w:type="dxa"/>
            <w:vAlign w:val="bottom"/>
          </w:tcPr>
          <w:p>
            <w:pPr>
              <w:jc w:val="right"/>
              <w:ind w:right="50"/>
              <w:spacing w:after="0"/>
              <w:rPr>
                <w:sz w:val="20"/>
                <w:szCs w:val="20"/>
                <w:color w:val="auto"/>
              </w:rPr>
            </w:pPr>
            <w:r>
              <w:rPr>
                <w:rFonts w:ascii="Arial" w:cs="Arial" w:eastAsia="Arial" w:hAnsi="Arial"/>
                <w:sz w:val="10"/>
                <w:szCs w:val="10"/>
                <w:b w:val="1"/>
                <w:bCs w:val="1"/>
                <w:color w:val="auto"/>
              </w:rPr>
              <w:t>Earnings (Loss)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ind w:left="140"/>
              <w:spacing w:after="0"/>
              <w:rPr>
                <w:sz w:val="20"/>
                <w:szCs w:val="20"/>
                <w:color w:val="auto"/>
              </w:rPr>
            </w:pPr>
            <w:r>
              <w:rPr>
                <w:rFonts w:ascii="Arial" w:cs="Arial" w:eastAsia="Arial" w:hAnsi="Arial"/>
                <w:sz w:val="10"/>
                <w:szCs w:val="10"/>
                <w:b w:val="1"/>
                <w:bCs w:val="1"/>
                <w:color w:val="auto"/>
              </w:rPr>
              <w:t>Earnings</w:t>
            </w:r>
          </w:p>
        </w:tc>
        <w:tc>
          <w:tcPr>
            <w:tcW w:w="220" w:type="dxa"/>
            <w:vAlign w:val="bottom"/>
          </w:tcPr>
          <w:p>
            <w:pPr>
              <w:spacing w:after="0"/>
              <w:rPr>
                <w:sz w:val="10"/>
                <w:szCs w:val="10"/>
                <w:color w:val="auto"/>
              </w:rPr>
            </w:pPr>
          </w:p>
        </w:tc>
        <w:tc>
          <w:tcPr>
            <w:tcW w:w="1080" w:type="dxa"/>
            <w:vAlign w:val="bottom"/>
          </w:tcPr>
          <w:p>
            <w:pPr>
              <w:jc w:val="center"/>
              <w:ind w:right="180"/>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7"/>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388,410</w:t>
            </w:r>
          </w:p>
        </w:tc>
        <w:tc>
          <w:tcPr>
            <w:tcW w:w="1220" w:type="dxa"/>
            <w:vAlign w:val="bottom"/>
            <w:tcBorders>
              <w:top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7,417</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199,548</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595,428</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3,988</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3,988</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32</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21,518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21,518</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9"/>
              </w:rPr>
              <w:t>(7,583)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(7,583)</w:t>
            </w:r>
          </w:p>
        </w:tc>
        <w:tc>
          <w:tcPr>
            <w:tcW w:w="0" w:type="dxa"/>
            <w:vAlign w:val="bottom"/>
          </w:tcPr>
          <w:p>
            <w:pPr>
              <w:spacing w:after="0"/>
              <w:rPr>
                <w:sz w:val="1"/>
                <w:szCs w:val="1"/>
                <w:color w:val="auto"/>
              </w:rPr>
            </w:pPr>
          </w:p>
        </w:tc>
      </w:tr>
      <w:tr>
        <w:trPr>
          <w:trHeight w:val="145"/>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392,430</w:t>
            </w:r>
          </w:p>
        </w:tc>
        <w:tc>
          <w:tcPr>
            <w:tcW w:w="1220" w:type="dxa"/>
            <w:vAlign w:val="bottom"/>
            <w:tcBorders>
              <w:top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221,066</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613,383</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4,962</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4,962</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1,437</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1,437</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34,667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34,667</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7"/>
              </w:rPr>
              <w:t>11,525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11,525</w:t>
            </w:r>
          </w:p>
        </w:tc>
        <w:tc>
          <w:tcPr>
            <w:tcW w:w="0" w:type="dxa"/>
            <w:vAlign w:val="bottom"/>
          </w:tcPr>
          <w:p>
            <w:pPr>
              <w:spacing w:after="0"/>
              <w:rPr>
                <w:sz w:val="1"/>
                <w:szCs w:val="1"/>
                <w:color w:val="auto"/>
              </w:rPr>
            </w:pPr>
          </w:p>
        </w:tc>
      </w:tr>
      <w:tr>
        <w:trPr>
          <w:trHeight w:val="145"/>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398,829</w:t>
            </w:r>
          </w:p>
        </w:tc>
        <w:tc>
          <w:tcPr>
            <w:tcW w:w="1220" w:type="dxa"/>
            <w:vAlign w:val="bottom"/>
            <w:tcBorders>
              <w:top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7"/>
              </w:rPr>
              <w:t>11,359</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255,733</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665,974</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4,490</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4,490</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77</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39,997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39,997</w:t>
            </w:r>
          </w:p>
        </w:tc>
        <w:tc>
          <w:tcPr>
            <w:tcW w:w="0" w:type="dxa"/>
            <w:vAlign w:val="bottom"/>
          </w:tcPr>
          <w:p>
            <w:pPr>
              <w:spacing w:after="0"/>
              <w:rPr>
                <w:sz w:val="1"/>
                <w:szCs w:val="1"/>
                <w:color w:val="auto"/>
              </w:rPr>
            </w:pPr>
          </w:p>
        </w:tc>
      </w:tr>
      <w:tr>
        <w:trPr>
          <w:trHeight w:val="156"/>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9"/>
              </w:rPr>
              <w:t>(1,659)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(1,659)</w:t>
            </w:r>
          </w:p>
        </w:tc>
        <w:tc>
          <w:tcPr>
            <w:tcW w:w="0" w:type="dxa"/>
            <w:vAlign w:val="bottom"/>
          </w:tcPr>
          <w:p>
            <w:pPr>
              <w:spacing w:after="0"/>
              <w:rPr>
                <w:sz w:val="1"/>
                <w:szCs w:val="1"/>
                <w:color w:val="auto"/>
              </w:rPr>
            </w:pPr>
          </w:p>
        </w:tc>
      </w:tr>
      <w:tr>
        <w:trPr>
          <w:trHeight w:val="145"/>
        </w:trPr>
        <w:tc>
          <w:tcPr>
            <w:tcW w:w="1040" w:type="dxa"/>
            <w:vAlign w:val="bottom"/>
          </w:tcPr>
          <w:p>
            <w:pPr>
              <w:jc w:val="right"/>
              <w:ind w:right="80"/>
              <w:spacing w:after="0"/>
              <w:rPr>
                <w:sz w:val="20"/>
                <w:szCs w:val="20"/>
                <w:color w:val="auto"/>
              </w:rPr>
            </w:pPr>
            <w:r>
              <w:rPr>
                <w:rFonts w:ascii="Arial" w:cs="Arial" w:eastAsia="Arial" w:hAnsi="Arial"/>
                <w:sz w:val="12"/>
                <w:szCs w:val="12"/>
                <w:color w:val="auto"/>
              </w:rPr>
              <w:t>403,396</w:t>
            </w:r>
          </w:p>
        </w:tc>
        <w:tc>
          <w:tcPr>
            <w:tcW w:w="12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9,700</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295,730</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708,879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-2062480</wp:posOffset>
            </wp:positionV>
            <wp:extent cx="79057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90575" cy="571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-2044700</wp:posOffset>
            </wp:positionV>
            <wp:extent cx="79057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0575" cy="571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-2166620</wp:posOffset>
            </wp:positionV>
            <wp:extent cx="79057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90575" cy="571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-3166110</wp:posOffset>
            </wp:positionV>
            <wp:extent cx="79057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0575" cy="571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-22860</wp:posOffset>
            </wp:positionV>
            <wp:extent cx="79057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0575" cy="571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-5080</wp:posOffset>
            </wp:positionV>
            <wp:extent cx="79057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0575" cy="571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-127000</wp:posOffset>
            </wp:positionV>
            <wp:extent cx="79057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90575" cy="571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-1126490</wp:posOffset>
            </wp:positionV>
            <wp:extent cx="79057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0575" cy="571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5840" w:space="240"/>
            <w:col w:w="5220"/>
          </w:cols>
          <w:pgMar w:left="300" w:top="131" w:right="299" w:bottom="1440" w:gutter="0" w:footer="0" w:header="0"/>
          <w:type w:val="continuous"/>
        </w:sectPr>
      </w:pPr>
    </w:p>
    <w:p>
      <w:pPr>
        <w:jc w:val="center"/>
        <w:ind w:right="20"/>
        <w:spacing w:after="0"/>
        <w:rPr>
          <w:sz w:val="20"/>
          <w:szCs w:val="20"/>
          <w:color w:val="auto"/>
        </w:rPr>
      </w:pPr>
      <w:r>
        <w:rPr>
          <w:rFonts w:ascii="Arial" w:cs="Arial" w:eastAsia="Arial" w:hAnsi="Arial"/>
          <w:sz w:val="10"/>
          <w:szCs w:val="10"/>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80" w:type="dxa"/>
            <w:vAlign w:val="bottom"/>
          </w:tcPr>
          <w:p>
            <w:pPr>
              <w:spacing w:after="0"/>
              <w:rPr>
                <w:sz w:val="11"/>
                <w:szCs w:val="11"/>
                <w:color w:val="auto"/>
              </w:rPr>
            </w:pPr>
          </w:p>
        </w:tc>
        <w:tc>
          <w:tcPr>
            <w:tcW w:w="23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0"/>
                <w:szCs w:val="10"/>
                <w:b w:val="1"/>
                <w:bCs w:val="1"/>
                <w:color w:val="auto"/>
              </w:rPr>
              <w:t>Nine Months ended September 30,</w:t>
            </w:r>
          </w:p>
        </w:tc>
        <w:tc>
          <w:tcPr>
            <w:tcW w:w="540" w:type="dxa"/>
            <w:vAlign w:val="bottom"/>
            <w:tcBorders>
              <w:bottom w:val="single" w:sz="8" w:color="auto"/>
            </w:tcBorders>
          </w:tcPr>
          <w:p>
            <w:pPr>
              <w:spacing w:after="0"/>
              <w:rPr>
                <w:sz w:val="11"/>
                <w:szCs w:val="11"/>
                <w:color w:val="auto"/>
              </w:rPr>
            </w:pPr>
          </w:p>
        </w:tc>
      </w:tr>
      <w:tr>
        <w:trPr>
          <w:trHeight w:val="120"/>
        </w:trPr>
        <w:tc>
          <w:tcPr>
            <w:tcW w:w="8380" w:type="dxa"/>
            <w:vAlign w:val="bottom"/>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r>
      <w:tr>
        <w:trPr>
          <w:trHeight w:val="117"/>
        </w:trPr>
        <w:tc>
          <w:tcPr>
            <w:tcW w:w="8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gridSpan w:val="3"/>
          </w:tcPr>
          <w:p>
            <w:pPr>
              <w:jc w:val="right"/>
              <w:ind w:right="601"/>
              <w:spacing w:after="0"/>
              <w:rPr>
                <w:sz w:val="20"/>
                <w:szCs w:val="20"/>
                <w:color w:val="auto"/>
              </w:rPr>
            </w:pPr>
            <w:r>
              <w:rPr>
                <w:rFonts w:ascii="Arial" w:cs="Arial" w:eastAsia="Arial" w:hAnsi="Arial"/>
                <w:sz w:val="10"/>
                <w:szCs w:val="10"/>
                <w:b w:val="1"/>
                <w:bCs w:val="1"/>
                <w:color w:val="auto"/>
              </w:rPr>
              <w:t>(unaudited)</w:t>
            </w:r>
          </w:p>
        </w:tc>
        <w:tc>
          <w:tcPr>
            <w:tcW w:w="540" w:type="dxa"/>
            <w:vAlign w:val="bottom"/>
          </w:tcPr>
          <w:p>
            <w:pPr>
              <w:spacing w:after="0"/>
              <w:rPr>
                <w:sz w:val="10"/>
                <w:szCs w:val="10"/>
                <w:color w:val="auto"/>
              </w:rPr>
            </w:pPr>
          </w:p>
        </w:tc>
      </w:tr>
      <w:tr>
        <w:trPr>
          <w:trHeight w:val="157"/>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operating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5"/>
        </w:trPr>
        <w:tc>
          <w:tcPr>
            <w:tcW w:w="8380" w:type="dxa"/>
            <w:vAlign w:val="bottom"/>
          </w:tcPr>
          <w:p>
            <w:pPr>
              <w:ind w:left="40"/>
              <w:spacing w:after="0"/>
              <w:rPr>
                <w:sz w:val="20"/>
                <w:szCs w:val="20"/>
                <w:color w:val="auto"/>
              </w:rPr>
            </w:pPr>
            <w:r>
              <w:rPr>
                <w:rFonts w:ascii="Arial" w:cs="Arial" w:eastAsia="Arial" w:hAnsi="Arial"/>
                <w:sz w:val="12"/>
                <w:szCs w:val="12"/>
                <w:color w:val="auto"/>
              </w:rPr>
              <w:t>Net earnings</w:t>
            </w:r>
          </w:p>
        </w:tc>
        <w:tc>
          <w:tcPr>
            <w:tcW w:w="860" w:type="dxa"/>
            <w:vAlign w:val="bottom"/>
          </w:tcPr>
          <w:p>
            <w:pPr>
              <w:jc w:val="right"/>
              <w:ind w:right="703"/>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50,982</w:t>
            </w:r>
          </w:p>
        </w:tc>
        <w:tc>
          <w:tcPr>
            <w:tcW w:w="80" w:type="dxa"/>
            <w:vAlign w:val="bottom"/>
          </w:tcPr>
          <w:p>
            <w:pPr>
              <w:spacing w:after="0"/>
              <w:rPr>
                <w:sz w:val="13"/>
                <w:szCs w:val="13"/>
                <w:color w:val="auto"/>
              </w:rPr>
            </w:pPr>
          </w:p>
        </w:tc>
        <w:tc>
          <w:tcPr>
            <w:tcW w:w="880" w:type="dxa"/>
            <w:vAlign w:val="bottom"/>
          </w:tcPr>
          <w:p>
            <w:pPr>
              <w:jc w:val="right"/>
              <w:ind w:right="721"/>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96,182</w:t>
            </w:r>
          </w:p>
        </w:tc>
      </w:tr>
      <w:tr>
        <w:trPr>
          <w:trHeight w:val="156"/>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color w:val="auto"/>
              </w:rPr>
              <w:t>Adjustments to reconcile net earnings to net cash provided by operating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Depreciation and amortization</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19,888</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12,621</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Navitor investment R&amp;D expense</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Amortization of deferred financing costs and debt discount</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13,037</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12,351</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Realized gains from sales of marketable securities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(3,636)</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Amortization of premium/discount on marketable securities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(845)</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(3,217)</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fair value of contingent consideration</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Other noncash adjustments, net</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794</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Share-based compensation expense</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13,874</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13,440</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Deferred income tax provision</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(479)</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(280)</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Changes in operating assets and liabilities: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5"/>
        </w:trPr>
        <w:tc>
          <w:tcPr>
            <w:tcW w:w="8380" w:type="dxa"/>
            <w:vAlign w:val="bottom"/>
          </w:tcPr>
          <w:p>
            <w:pPr>
              <w:ind w:left="300"/>
              <w:spacing w:after="0"/>
              <w:rPr>
                <w:sz w:val="20"/>
                <w:szCs w:val="20"/>
                <w:color w:val="auto"/>
              </w:rPr>
            </w:pPr>
            <w:r>
              <w:rPr>
                <w:rFonts w:ascii="Arial" w:cs="Arial" w:eastAsia="Arial" w:hAnsi="Arial"/>
                <w:sz w:val="12"/>
                <w:szCs w:val="12"/>
                <w:color w:val="auto"/>
              </w:rPr>
              <w:t>Accounts receivable</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7,352</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(26,840)</w:t>
            </w:r>
          </w:p>
        </w:tc>
      </w:tr>
      <w:tr>
        <w:trPr>
          <w:trHeight w:val="156"/>
        </w:trPr>
        <w:tc>
          <w:tcPr>
            <w:tcW w:w="83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Inventories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(9,331)</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(5,437)</w:t>
            </w:r>
          </w:p>
        </w:tc>
      </w:tr>
      <w:tr>
        <w:trPr>
          <w:trHeight w:val="155"/>
        </w:trPr>
        <w:tc>
          <w:tcPr>
            <w:tcW w:w="8380" w:type="dxa"/>
            <w:vAlign w:val="bottom"/>
          </w:tcPr>
          <w:p>
            <w:pPr>
              <w:ind w:left="280"/>
              <w:spacing w:after="0"/>
              <w:rPr>
                <w:sz w:val="20"/>
                <w:szCs w:val="20"/>
                <w:color w:val="auto"/>
              </w:rPr>
            </w:pPr>
            <w:r>
              <w:rPr>
                <w:rFonts w:ascii="Arial" w:cs="Arial" w:eastAsia="Arial" w:hAnsi="Arial"/>
                <w:sz w:val="12"/>
                <w:szCs w:val="12"/>
                <w:color w:val="auto"/>
              </w:rPr>
              <w:t>Prepaid expenses and other assets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(13,351)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(11,734)</w:t>
            </w:r>
          </w:p>
        </w:tc>
      </w:tr>
      <w:tr>
        <w:trPr>
          <w:trHeight w:val="156"/>
        </w:trPr>
        <w:tc>
          <w:tcPr>
            <w:tcW w:w="83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Accrued product returns and rebates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5,856</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21,166</w:t>
            </w:r>
          </w:p>
        </w:tc>
      </w:tr>
      <w:tr>
        <w:trPr>
          <w:trHeight w:val="155"/>
        </w:trPr>
        <w:tc>
          <w:tcPr>
            <w:tcW w:w="838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Accounts payable and other liabilities</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(15,726)</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856</w:t>
            </w:r>
          </w:p>
        </w:tc>
      </w:tr>
      <w:tr>
        <w:trPr>
          <w:trHeight w:val="145"/>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cash provided by operating activities</w:t>
            </w:r>
          </w:p>
        </w:tc>
        <w:tc>
          <w:tcPr>
            <w:tcW w:w="8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78,364</w:t>
            </w:r>
          </w:p>
        </w:tc>
        <w:tc>
          <w:tcPr>
            <w:tcW w:w="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106,466</w:t>
            </w:r>
          </w:p>
        </w:tc>
      </w:tr>
      <w:tr>
        <w:trPr>
          <w:trHeight w:val="127"/>
        </w:trPr>
        <w:tc>
          <w:tcPr>
            <w:tcW w:w="8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6"/>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investing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Purchases of marketable securities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(307,634)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(87,890)</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Sales and maturities of marketable securities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152,546</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319,421</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Purchase of property and equipment and deferred legal fees paid</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(2,005)</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(3,375)</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Acquisition of USWM, net of cash acquired</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(297,200)</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Investment in Navitor Pharmaceuticals, Inc.</w:t>
            </w:r>
          </w:p>
        </w:tc>
        <w:tc>
          <w:tcPr>
            <w:tcW w:w="8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(15,000)</w:t>
            </w:r>
          </w:p>
        </w:tc>
      </w:tr>
      <w:tr>
        <w:trPr>
          <w:trHeight w:val="145"/>
        </w:trPr>
        <w:tc>
          <w:tcPr>
            <w:tcW w:w="8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Net cash used in investing activities</w:t>
            </w: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(158,043)</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(84,044)</w:t>
            </w:r>
          </w:p>
        </w:tc>
      </w:tr>
      <w:tr>
        <w:trPr>
          <w:trHeight w:val="127"/>
        </w:trPr>
        <w:tc>
          <w:tcPr>
            <w:tcW w:w="8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6"/>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financing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Proceeds from issuance of common stock</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5,520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1,546</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Proceeds from governmental loan and grant</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Payments on finance lease liability</w:t>
            </w:r>
          </w:p>
        </w:tc>
        <w:tc>
          <w:tcPr>
            <w:tcW w:w="8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(1,056)</w:t>
            </w:r>
          </w:p>
        </w:tc>
      </w:tr>
      <w:tr>
        <w:trPr>
          <w:trHeight w:val="145"/>
        </w:trPr>
        <w:tc>
          <w:tcPr>
            <w:tcW w:w="8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Net cash provided by financing activities</w:t>
            </w: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6,320</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w:t>
            </w:r>
          </w:p>
        </w:tc>
      </w:tr>
      <w:tr>
        <w:trPr>
          <w:trHeight w:val="127"/>
        </w:trPr>
        <w:tc>
          <w:tcPr>
            <w:tcW w:w="8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6"/>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change in cash and cash equivalents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(73,359)</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22,912</w:t>
            </w:r>
          </w:p>
        </w:tc>
      </w:tr>
      <w:tr>
        <w:trPr>
          <w:trHeight w:val="155"/>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Cash and cash equivalents at beginning of year</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288,640</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181,381</w:t>
            </w:r>
          </w:p>
        </w:tc>
      </w:tr>
      <w:tr>
        <w:trPr>
          <w:trHeight w:val="162"/>
        </w:trPr>
        <w:tc>
          <w:tcPr>
            <w:tcW w:w="8380" w:type="dxa"/>
            <w:vAlign w:val="bottom"/>
            <w:tcBorders>
              <w:bottom w:val="single" w:sz="8" w:color="CCEEFF"/>
            </w:tcBorders>
            <w:shd w:val="clear" w:color="auto" w:fill="CCEEFF"/>
          </w:tcPr>
          <w:p>
            <w:pPr>
              <w:ind w:left="220"/>
              <w:spacing w:after="0" w:line="136" w:lineRule="exact"/>
              <w:rPr>
                <w:sz w:val="20"/>
                <w:szCs w:val="20"/>
                <w:color w:val="auto"/>
              </w:rPr>
            </w:pPr>
            <w:r>
              <w:rPr>
                <w:rFonts w:ascii="Arial" w:cs="Arial" w:eastAsia="Arial" w:hAnsi="Arial"/>
                <w:sz w:val="12"/>
                <w:szCs w:val="12"/>
                <w:color w:val="auto"/>
              </w:rPr>
              <w:t>Cash and cash equivalents at end of period</w:t>
            </w:r>
          </w:p>
        </w:tc>
        <w:tc>
          <w:tcPr>
            <w:tcW w:w="86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215,281</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204,293</w:t>
            </w:r>
          </w:p>
        </w:tc>
      </w:tr>
      <w:tr>
        <w:trPr>
          <w:trHeight w:val="128"/>
        </w:trPr>
        <w:tc>
          <w:tcPr>
            <w:tcW w:w="8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6"/>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Supplemental cash flow information</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Cash paid for interest on convertible notes</w:t>
            </w:r>
          </w:p>
        </w:tc>
        <w:tc>
          <w:tcPr>
            <w:tcW w:w="860" w:type="dxa"/>
            <w:vAlign w:val="bottom"/>
          </w:tcPr>
          <w:p>
            <w:pPr>
              <w:jc w:val="right"/>
              <w:ind w:right="703"/>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1,887</w:t>
            </w:r>
          </w:p>
        </w:tc>
        <w:tc>
          <w:tcPr>
            <w:tcW w:w="80" w:type="dxa"/>
            <w:vAlign w:val="bottom"/>
          </w:tcPr>
          <w:p>
            <w:pPr>
              <w:spacing w:after="0"/>
              <w:rPr>
                <w:sz w:val="13"/>
                <w:szCs w:val="13"/>
                <w:color w:val="auto"/>
              </w:rPr>
            </w:pPr>
          </w:p>
        </w:tc>
        <w:tc>
          <w:tcPr>
            <w:tcW w:w="880" w:type="dxa"/>
            <w:vAlign w:val="bottom"/>
          </w:tcPr>
          <w:p>
            <w:pPr>
              <w:jc w:val="right"/>
              <w:ind w:right="721"/>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2,516</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paid for income taxes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25,111</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42,284</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Cash paid for operating leases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7,613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5,152</w:t>
            </w:r>
          </w:p>
        </w:tc>
      </w:tr>
      <w:tr>
        <w:trPr>
          <w:trHeight w:val="147"/>
        </w:trPr>
        <w:tc>
          <w:tcPr>
            <w:tcW w:w="8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56"/>
        </w:trPr>
        <w:tc>
          <w:tcPr>
            <w:tcW w:w="8380" w:type="dxa"/>
            <w:vAlign w:val="bottom"/>
          </w:tcPr>
          <w:p>
            <w:pPr>
              <w:ind w:left="40"/>
              <w:spacing w:after="0"/>
              <w:rPr>
                <w:sz w:val="20"/>
                <w:szCs w:val="20"/>
                <w:color w:val="auto"/>
              </w:rPr>
            </w:pPr>
            <w:r>
              <w:rPr>
                <w:rFonts w:ascii="Arial" w:cs="Arial" w:eastAsia="Arial" w:hAnsi="Arial"/>
                <w:sz w:val="12"/>
                <w:szCs w:val="12"/>
                <w:b w:val="1"/>
                <w:bCs w:val="1"/>
                <w:color w:val="auto"/>
              </w:rPr>
              <w:t>Noncash investing and financing activities</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Contingent consideration liability accrued in USWM Acquisition</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115,900</w:t>
            </w:r>
          </w:p>
        </w:tc>
      </w:tr>
      <w:tr>
        <w:trPr>
          <w:trHeight w:val="155"/>
        </w:trPr>
        <w:tc>
          <w:tcPr>
            <w:tcW w:w="8380" w:type="dxa"/>
            <w:vAlign w:val="bottom"/>
          </w:tcPr>
          <w:p>
            <w:pPr>
              <w:ind w:left="220"/>
              <w:spacing w:after="0"/>
              <w:rPr>
                <w:sz w:val="20"/>
                <w:szCs w:val="20"/>
                <w:color w:val="auto"/>
              </w:rPr>
            </w:pPr>
            <w:r>
              <w:rPr>
                <w:rFonts w:ascii="Arial" w:cs="Arial" w:eastAsia="Arial" w:hAnsi="Arial"/>
                <w:sz w:val="12"/>
                <w:szCs w:val="12"/>
                <w:color w:val="auto"/>
              </w:rPr>
              <w:t>Lease assets and tenant receivable obtained for new leases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4,120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25,225</w:t>
            </w:r>
          </w:p>
        </w:tc>
      </w:tr>
      <w:tr>
        <w:trPr>
          <w:trHeight w:val="156"/>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legal fees and fixed assets included in accounts payable and accrued expenses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Supernus Pharmaceuticals, Inc.</w:t>
      </w:r>
    </w:p>
    <w:p>
      <w:pPr>
        <w:spacing w:after="0" w:line="21"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8" w:lineRule="exact"/>
        <w:rPr>
          <w:sz w:val="20"/>
          <w:szCs w:val="20"/>
          <w:color w:val="auto"/>
        </w:rPr>
      </w:pPr>
    </w:p>
    <w:p>
      <w:pPr>
        <w:ind w:left="207" w:hanging="207"/>
        <w:spacing w:after="0"/>
        <w:tabs>
          <w:tab w:leader="none" w:pos="207"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Business Organization</w:t>
      </w:r>
    </w:p>
    <w:p>
      <w:pPr>
        <w:spacing w:after="0" w:line="119" w:lineRule="exact"/>
        <w:rPr>
          <w:sz w:val="20"/>
          <w:szCs w:val="20"/>
          <w:color w:val="auto"/>
        </w:rPr>
      </w:pPr>
    </w:p>
    <w:p>
      <w:pPr>
        <w:jc w:val="both"/>
        <w:ind w:left="7" w:right="200" w:firstLine="439"/>
        <w:spacing w:after="0" w:line="304" w:lineRule="auto"/>
        <w:rPr>
          <w:sz w:val="20"/>
          <w:szCs w:val="20"/>
          <w:color w:val="auto"/>
        </w:rPr>
      </w:pPr>
      <w:r>
        <w:rPr>
          <w:rFonts w:ascii="Arial" w:cs="Arial" w:eastAsia="Arial" w:hAnsi="Arial"/>
          <w:sz w:val="11"/>
          <w:szCs w:val="11"/>
          <w:color w:val="auto"/>
        </w:rPr>
        <w:t>Supernus Pharmaceuticals, Inc. (the Company)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and chronic sialorrhea. The Company is also developing a broad range of novel CNS product candidates including new potential treatments for ADHD, hypomobility in PD, epilepsy, depression, and rare CNS disorders.</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Commercial Products</w:t>
      </w:r>
    </w:p>
    <w:p>
      <w:pPr>
        <w:spacing w:after="0" w:line="124" w:lineRule="exact"/>
        <w:rPr>
          <w:sz w:val="20"/>
          <w:szCs w:val="20"/>
          <w:color w:val="auto"/>
        </w:rPr>
      </w:pPr>
    </w:p>
    <w:p>
      <w:pPr>
        <w:ind w:left="427" w:hanging="207"/>
        <w:spacing w:after="0"/>
        <w:tabs>
          <w:tab w:leader="none" w:pos="427" w:val="left"/>
        </w:tabs>
        <w:numPr>
          <w:ilvl w:val="0"/>
          <w:numId w:val="6"/>
        </w:numPr>
        <w:rPr>
          <w:rFonts w:ascii="Arial" w:cs="Arial" w:eastAsia="Arial" w:hAnsi="Arial"/>
          <w:sz w:val="11"/>
          <w:szCs w:val="11"/>
          <w:color w:val="auto"/>
        </w:rPr>
      </w:pPr>
      <w:r>
        <w:rPr>
          <w:rFonts w:ascii="Arial" w:cs="Arial" w:eastAsia="Arial" w:hAnsi="Arial"/>
          <w:sz w:val="11"/>
          <w:szCs w:val="11"/>
          <w:color w:val="auto"/>
        </w:rPr>
        <w:t>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(topiramate) is the first once-daily extended release topiramate product indicated for the treatment of epilepsy in the United States (U.S.) market. It is also indicated for the prophylaxis of migraine headache.</w:t>
      </w:r>
    </w:p>
    <w:p>
      <w:pPr>
        <w:spacing w:after="0" w:line="108" w:lineRule="exact"/>
        <w:rPr>
          <w:rFonts w:ascii="Arial" w:cs="Arial" w:eastAsia="Arial" w:hAnsi="Arial"/>
          <w:sz w:val="11"/>
          <w:szCs w:val="11"/>
          <w:color w:val="auto"/>
        </w:rPr>
      </w:pPr>
    </w:p>
    <w:p>
      <w:pPr>
        <w:ind w:left="447" w:right="100" w:hanging="227"/>
        <w:spacing w:after="0" w:line="232" w:lineRule="auto"/>
        <w:tabs>
          <w:tab w:leader="none" w:pos="444" w:val="left"/>
        </w:tabs>
        <w:numPr>
          <w:ilvl w:val="0"/>
          <w:numId w:val="6"/>
        </w:numPr>
        <w:rPr>
          <w:rFonts w:ascii="Arial" w:cs="Arial" w:eastAsia="Arial" w:hAnsi="Arial"/>
          <w:sz w:val="12"/>
          <w:szCs w:val="12"/>
          <w:color w:val="auto"/>
        </w:rPr>
      </w:pPr>
      <w:r>
        <w:rPr>
          <w:rFonts w:ascii="Arial" w:cs="Arial" w:eastAsia="Arial" w:hAnsi="Arial"/>
          <w:sz w:val="12"/>
          <w:szCs w:val="12"/>
          <w:color w:val="auto"/>
        </w:rPr>
        <w:t>Oxtellar XR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(oxcarbazepine) is indicated as therapy for partial onset seizures in adults and children 6 years to 17 years of age and is the first once-daily extended-release oxcarbazepine product indicated for the treatment of epilepsy in the U.S.</w:t>
      </w:r>
    </w:p>
    <w:p>
      <w:pPr>
        <w:spacing w:after="0" w:line="117" w:lineRule="exact"/>
        <w:rPr>
          <w:rFonts w:ascii="Arial" w:cs="Arial" w:eastAsia="Arial" w:hAnsi="Arial"/>
          <w:sz w:val="12"/>
          <w:szCs w:val="12"/>
          <w:color w:val="auto"/>
        </w:rPr>
      </w:pPr>
    </w:p>
    <w:p>
      <w:pPr>
        <w:ind w:left="427" w:hanging="207"/>
        <w:spacing w:after="0"/>
        <w:tabs>
          <w:tab w:leader="none" w:pos="427" w:val="left"/>
        </w:tabs>
        <w:numPr>
          <w:ilvl w:val="0"/>
          <w:numId w:val="6"/>
        </w:numPr>
        <w:rPr>
          <w:rFonts w:ascii="Arial" w:cs="Arial" w:eastAsia="Arial" w:hAnsi="Arial"/>
          <w:sz w:val="12"/>
          <w:szCs w:val="12"/>
          <w:color w:val="auto"/>
        </w:rPr>
      </w:pPr>
      <w:r>
        <w:rPr>
          <w:rFonts w:ascii="Arial" w:cs="Arial" w:eastAsia="Arial" w:hAnsi="Arial"/>
          <w:sz w:val="12"/>
          <w:szCs w:val="12"/>
          <w:color w:val="auto"/>
        </w:rPr>
        <w:t>Qelbree</w:t>
      </w:r>
      <w:r>
        <w:rPr>
          <w:rFonts w:ascii="Arial" w:cs="Arial" w:eastAsia="Arial" w:hAnsi="Arial"/>
          <w:sz w:val="15"/>
          <w:szCs w:val="15"/>
          <w:color w:val="auto"/>
          <w:vertAlign w:val="superscript"/>
        </w:rPr>
        <w:t>TM</w:t>
      </w:r>
      <w:r>
        <w:rPr>
          <w:rFonts w:ascii="Arial" w:cs="Arial" w:eastAsia="Arial" w:hAnsi="Arial"/>
          <w:sz w:val="12"/>
          <w:szCs w:val="12"/>
          <w:color w:val="auto"/>
        </w:rPr>
        <w:t xml:space="preserve"> (viloxazine extended-release capsules) is a novel non-stimulant product indicated for the treatment of ADHD in pediatric patients 6 to 17 years of age.</w:t>
      </w:r>
    </w:p>
    <w:p>
      <w:pPr>
        <w:spacing w:after="0" w:line="92" w:lineRule="exact"/>
        <w:rPr>
          <w:rFonts w:ascii="Arial" w:cs="Arial" w:eastAsia="Arial" w:hAnsi="Arial"/>
          <w:sz w:val="12"/>
          <w:szCs w:val="12"/>
          <w:color w:val="auto"/>
        </w:rPr>
      </w:pPr>
    </w:p>
    <w:p>
      <w:pPr>
        <w:ind w:left="447" w:right="140" w:hanging="227"/>
        <w:spacing w:after="0" w:line="235" w:lineRule="auto"/>
        <w:tabs>
          <w:tab w:leader="none" w:pos="444" w:val="left"/>
        </w:tabs>
        <w:numPr>
          <w:ilvl w:val="0"/>
          <w:numId w:val="6"/>
        </w:numPr>
        <w:rPr>
          <w:rFonts w:ascii="Arial" w:cs="Arial" w:eastAsia="Arial" w:hAnsi="Arial"/>
          <w:sz w:val="12"/>
          <w:szCs w:val="12"/>
          <w:color w:val="auto"/>
        </w:rPr>
      </w:pPr>
      <w:r>
        <w:rPr>
          <w:rFonts w:ascii="Arial" w:cs="Arial" w:eastAsia="Arial" w:hAnsi="Arial"/>
          <w:sz w:val="12"/>
          <w:szCs w:val="12"/>
          <w:color w:val="auto"/>
        </w:rPr>
        <w:t>APOKYN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(apomorphine hydrochloride injection) is a product indicated for the acute, intermittent treatment of hypomobility or "off" episodes ("end-of-dose wearing off" and unpredictable "on-off" episodes) in patients with advanced PD.</w:t>
      </w:r>
    </w:p>
    <w:p>
      <w:pPr>
        <w:spacing w:after="0" w:line="111" w:lineRule="exact"/>
        <w:rPr>
          <w:rFonts w:ascii="Arial" w:cs="Arial" w:eastAsia="Arial" w:hAnsi="Arial"/>
          <w:sz w:val="12"/>
          <w:szCs w:val="12"/>
          <w:color w:val="auto"/>
        </w:rPr>
      </w:pPr>
    </w:p>
    <w:p>
      <w:pPr>
        <w:ind w:left="427" w:hanging="207"/>
        <w:spacing w:after="0"/>
        <w:tabs>
          <w:tab w:leader="none" w:pos="427" w:val="left"/>
        </w:tabs>
        <w:numPr>
          <w:ilvl w:val="0"/>
          <w:numId w:val="6"/>
        </w:numPr>
        <w:rPr>
          <w:rFonts w:ascii="Arial" w:cs="Arial" w:eastAsia="Arial" w:hAnsi="Arial"/>
          <w:sz w:val="12"/>
          <w:szCs w:val="12"/>
          <w:color w:val="auto"/>
        </w:rPr>
      </w:pPr>
      <w:r>
        <w:rPr>
          <w:rFonts w:ascii="Arial" w:cs="Arial" w:eastAsia="Arial" w:hAnsi="Arial"/>
          <w:sz w:val="12"/>
          <w:szCs w:val="12"/>
          <w:color w:val="auto"/>
        </w:rPr>
        <w:t>MYOBLOC</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(rimabotulinumtoxinB) is a product indicated for the treatment of cervical dystonia and sialorrhea in adults, and it is the only Type B toxin available on the market.</w:t>
      </w:r>
    </w:p>
    <w:p>
      <w:pPr>
        <w:spacing w:after="0" w:line="98" w:lineRule="exact"/>
        <w:rPr>
          <w:rFonts w:ascii="Arial" w:cs="Arial" w:eastAsia="Arial" w:hAnsi="Arial"/>
          <w:sz w:val="12"/>
          <w:szCs w:val="12"/>
          <w:color w:val="auto"/>
        </w:rPr>
      </w:pPr>
    </w:p>
    <w:p>
      <w:pPr>
        <w:ind w:left="427" w:hanging="207"/>
        <w:spacing w:after="0"/>
        <w:tabs>
          <w:tab w:leader="none" w:pos="427" w:val="left"/>
        </w:tabs>
        <w:numPr>
          <w:ilvl w:val="0"/>
          <w:numId w:val="6"/>
        </w:numPr>
        <w:rPr>
          <w:rFonts w:ascii="Arial" w:cs="Arial" w:eastAsia="Arial" w:hAnsi="Arial"/>
          <w:sz w:val="12"/>
          <w:szCs w:val="12"/>
          <w:color w:val="auto"/>
        </w:rPr>
      </w:pPr>
      <w:r>
        <w:rPr>
          <w:rFonts w:ascii="Arial" w:cs="Arial" w:eastAsia="Arial" w:hAnsi="Arial"/>
          <w:sz w:val="12"/>
          <w:szCs w:val="12"/>
          <w:color w:val="auto"/>
        </w:rPr>
        <w:t>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(safinamide) is a once-daily product indicated as adjunctive treatment to levodopa/carbidopa in patients with PD experiencing "off" episodes.</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Product Candidates</w:t>
      </w:r>
    </w:p>
    <w:p>
      <w:pPr>
        <w:spacing w:after="0" w:line="127" w:lineRule="exact"/>
        <w:rPr>
          <w:sz w:val="20"/>
          <w:szCs w:val="20"/>
          <w:color w:val="auto"/>
        </w:rPr>
      </w:pPr>
    </w:p>
    <w:p>
      <w:pPr>
        <w:ind w:left="447" w:right="320" w:hanging="227"/>
        <w:spacing w:after="0" w:line="331" w:lineRule="auto"/>
        <w:tabs>
          <w:tab w:leader="none" w:pos="444" w:val="left"/>
        </w:tabs>
        <w:numPr>
          <w:ilvl w:val="0"/>
          <w:numId w:val="7"/>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Qelbree (viloxazine, extended-release capsules; </w:t>
      </w:r>
      <w:r>
        <w:rPr>
          <w:rFonts w:ascii="Arial" w:cs="Arial" w:eastAsia="Arial" w:hAnsi="Arial"/>
          <w:sz w:val="11"/>
          <w:szCs w:val="11"/>
          <w:color w:val="auto"/>
        </w:rPr>
        <w:t>SPN-812) is a novel non-stimulant product candidate for the treatment of ADHD in adult patients. The U.S. Food and Drug Administration (FDA) acknowledged it has</w:t>
      </w:r>
      <w:r>
        <w:rPr>
          <w:rFonts w:ascii="Arial" w:cs="Arial" w:eastAsia="Arial" w:hAnsi="Arial"/>
          <w:sz w:val="11"/>
          <w:szCs w:val="11"/>
          <w:i w:val="1"/>
          <w:iCs w:val="1"/>
          <w:color w:val="auto"/>
        </w:rPr>
        <w:t xml:space="preserve"> </w:t>
      </w:r>
      <w:r>
        <w:rPr>
          <w:rFonts w:ascii="Arial" w:cs="Arial" w:eastAsia="Arial" w:hAnsi="Arial"/>
          <w:sz w:val="11"/>
          <w:szCs w:val="11"/>
          <w:color w:val="auto"/>
        </w:rPr>
        <w:t>received the supplemental new drug application (sNDA) for Qelbree for the treatment of ADHD in adult patients. The sNDA has a user fee goal date (PDUFA date) of April 29, 2022.</w:t>
      </w:r>
    </w:p>
    <w:p>
      <w:pPr>
        <w:spacing w:after="0" w:line="72" w:lineRule="exact"/>
        <w:rPr>
          <w:rFonts w:ascii="Arial" w:cs="Arial" w:eastAsia="Arial" w:hAnsi="Arial"/>
          <w:sz w:val="11"/>
          <w:szCs w:val="11"/>
          <w:i w:val="1"/>
          <w:iCs w:val="1"/>
          <w:color w:val="auto"/>
        </w:rPr>
      </w:pPr>
    </w:p>
    <w:p>
      <w:pPr>
        <w:ind w:left="427" w:hanging="207"/>
        <w:spacing w:after="0"/>
        <w:tabs>
          <w:tab w:leader="none" w:pos="427" w:val="left"/>
        </w:tabs>
        <w:numPr>
          <w:ilvl w:val="0"/>
          <w:numId w:val="7"/>
        </w:numPr>
        <w:rPr>
          <w:rFonts w:ascii="Arial" w:cs="Arial" w:eastAsia="Arial" w:hAnsi="Arial"/>
          <w:sz w:val="12"/>
          <w:szCs w:val="12"/>
          <w:color w:val="auto"/>
        </w:rPr>
      </w:pPr>
      <w:r>
        <w:rPr>
          <w:rFonts w:ascii="Arial" w:cs="Arial" w:eastAsia="Arial" w:hAnsi="Arial"/>
          <w:sz w:val="12"/>
          <w:szCs w:val="12"/>
          <w:color w:val="auto"/>
        </w:rPr>
        <w:t>SPN-830 (Apomorphine Infusion Pump) is a late-stage drug/device combination product candidate for the continuous prevention of "off" episodes in PD.</w:t>
      </w:r>
    </w:p>
    <w:p>
      <w:pPr>
        <w:spacing w:after="0" w:line="127" w:lineRule="exact"/>
        <w:rPr>
          <w:rFonts w:ascii="Arial" w:cs="Arial" w:eastAsia="Arial" w:hAnsi="Arial"/>
          <w:sz w:val="12"/>
          <w:szCs w:val="12"/>
          <w:color w:val="auto"/>
        </w:rPr>
      </w:pPr>
    </w:p>
    <w:p>
      <w:pPr>
        <w:ind w:left="427" w:hanging="207"/>
        <w:spacing w:after="0"/>
        <w:tabs>
          <w:tab w:leader="none" w:pos="427" w:val="left"/>
        </w:tabs>
        <w:numPr>
          <w:ilvl w:val="0"/>
          <w:numId w:val="7"/>
        </w:numPr>
        <w:rPr>
          <w:rFonts w:ascii="Arial" w:cs="Arial" w:eastAsia="Arial" w:hAnsi="Arial"/>
          <w:sz w:val="12"/>
          <w:szCs w:val="12"/>
          <w:color w:val="auto"/>
        </w:rPr>
      </w:pPr>
      <w:r>
        <w:rPr>
          <w:rFonts w:ascii="Arial" w:cs="Arial" w:eastAsia="Arial" w:hAnsi="Arial"/>
          <w:sz w:val="12"/>
          <w:szCs w:val="12"/>
          <w:color w:val="auto"/>
        </w:rPr>
        <w:t>SPN-817 is a novel product candidate for the treatment of severe epilepsy.</w:t>
      </w:r>
    </w:p>
    <w:p>
      <w:pPr>
        <w:spacing w:after="0" w:line="127" w:lineRule="exact"/>
        <w:rPr>
          <w:rFonts w:ascii="Arial" w:cs="Arial" w:eastAsia="Arial" w:hAnsi="Arial"/>
          <w:sz w:val="12"/>
          <w:szCs w:val="12"/>
          <w:color w:val="auto"/>
        </w:rPr>
      </w:pPr>
    </w:p>
    <w:p>
      <w:pPr>
        <w:ind w:left="427" w:hanging="207"/>
        <w:spacing w:after="0"/>
        <w:tabs>
          <w:tab w:leader="none" w:pos="427" w:val="left"/>
        </w:tabs>
        <w:numPr>
          <w:ilvl w:val="0"/>
          <w:numId w:val="7"/>
        </w:numPr>
        <w:rPr>
          <w:rFonts w:ascii="Arial" w:cs="Arial" w:eastAsia="Arial" w:hAnsi="Arial"/>
          <w:sz w:val="11"/>
          <w:szCs w:val="11"/>
          <w:color w:val="auto"/>
        </w:rPr>
      </w:pPr>
      <w:r>
        <w:rPr>
          <w:rFonts w:ascii="Arial" w:cs="Arial" w:eastAsia="Arial" w:hAnsi="Arial"/>
          <w:sz w:val="11"/>
          <w:szCs w:val="11"/>
          <w:color w:val="auto"/>
        </w:rPr>
        <w:t>SPN-820 is a first-in-class product candidate for treatment resistant depression (TRD). It is an orally active small molecule that directly activates brain mechanistic target of rapamycin complex 1 (mTORC1).</w:t>
      </w:r>
    </w:p>
    <w:p>
      <w:pPr>
        <w:spacing w:after="0" w:line="148" w:lineRule="exact"/>
        <w:rPr>
          <w:sz w:val="20"/>
          <w:szCs w:val="20"/>
          <w:color w:val="auto"/>
        </w:rPr>
      </w:pPr>
    </w:p>
    <w:p>
      <w:pPr>
        <w:ind w:left="7" w:right="440" w:firstLine="439"/>
        <w:spacing w:after="0" w:line="283" w:lineRule="auto"/>
        <w:rPr>
          <w:sz w:val="20"/>
          <w:szCs w:val="20"/>
          <w:color w:val="auto"/>
        </w:rPr>
      </w:pPr>
      <w:r>
        <w:rPr>
          <w:rFonts w:ascii="Arial" w:cs="Arial" w:eastAsia="Arial" w:hAnsi="Arial"/>
          <w:sz w:val="12"/>
          <w:szCs w:val="12"/>
          <w:color w:val="auto"/>
        </w:rPr>
        <w:t xml:space="preserve">On October 10, 2021, the Company entered into an Agreement and Plan of Merger by and among the Company, Adamas Pharmaceuticals, Inc. and Supernus Reef, Inc., a Delaware corporation and a wholly owned subsidiary of the Company. Refer to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for further discussion.</w:t>
      </w:r>
    </w:p>
    <w:p>
      <w:pPr>
        <w:spacing w:after="0" w:line="86" w:lineRule="exact"/>
        <w:rPr>
          <w:sz w:val="20"/>
          <w:szCs w:val="20"/>
          <w:color w:val="auto"/>
        </w:rPr>
      </w:pPr>
    </w:p>
    <w:p>
      <w:pPr>
        <w:ind w:left="7" w:firstLine="439"/>
        <w:spacing w:after="0" w:line="331" w:lineRule="auto"/>
        <w:rPr>
          <w:sz w:val="20"/>
          <w:szCs w:val="20"/>
          <w:color w:val="auto"/>
        </w:rPr>
      </w:pPr>
      <w:r>
        <w:rPr>
          <w:rFonts w:ascii="Arial" w:cs="Arial" w:eastAsia="Arial" w:hAnsi="Arial"/>
          <w:sz w:val="11"/>
          <w:szCs w:val="11"/>
          <w:color w:val="auto"/>
        </w:rPr>
        <w:t>In April 2021, the U.S. Food and Drug Administration (FDA) approved Qelbree (SPN-812) for the treatment of ADHD in pediatric patients 6 to 17 years of age. In May 2021, the Company launched Qelbree in the U.S. On September 2, 2021, the FDA acknowledged receiving the supplemental new drug application (sNDA) for SPN-812 for adult patients with ADHD and assigned a user fee goal date (PDUFA date) of April 29, 2022.</w:t>
      </w:r>
    </w:p>
    <w:p>
      <w:pPr>
        <w:spacing w:after="0" w:line="347"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7"/>
          </w:cols>
          <w:pgMar w:left="293" w:top="131" w:right="319" w:bottom="1440" w:gutter="0" w:footer="0" w:header="0"/>
        </w:sectPr>
      </w:pPr>
    </w:p>
    <w:bookmarkStart w:id="8" w:name="page9"/>
    <w:bookmarkEnd w:id="8"/>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firstLine="439"/>
        <w:spacing w:after="0" w:line="264" w:lineRule="auto"/>
        <w:rPr>
          <w:sz w:val="20"/>
          <w:szCs w:val="20"/>
          <w:color w:val="auto"/>
        </w:rPr>
      </w:pPr>
      <w:r>
        <w:rPr>
          <w:rFonts w:ascii="Arial" w:cs="Arial" w:eastAsia="Arial" w:hAnsi="Arial"/>
          <w:sz w:val="12"/>
          <w:szCs w:val="12"/>
          <w:color w:val="auto"/>
        </w:rPr>
        <w:t xml:space="preserve">On April 28, 2020, the Company entered into a Sale and Purchase Agreement with US WorldMeds Partners, LLC to acquire the CNS portfolio of USWM Enterprises, LLC (USWM Enterprises) (USWM Acquisition). With the acquisition, completed on June 9, 2020, the Company added three established commercial products, APOKYN, XADAGO, and MYOBLOC, and a product candidate in late-stage development, SPN-830, to its portfolio. Refer to Note 3, </w:t>
      </w:r>
      <w:r>
        <w:rPr>
          <w:rFonts w:ascii="Arial" w:cs="Arial" w:eastAsia="Arial" w:hAnsi="Arial"/>
          <w:sz w:val="12"/>
          <w:szCs w:val="12"/>
          <w:i w:val="1"/>
          <w:iCs w:val="1"/>
          <w:color w:val="auto"/>
        </w:rPr>
        <w:t>USWM Acquisition</w:t>
      </w:r>
      <w:r>
        <w:rPr>
          <w:rFonts w:ascii="Arial" w:cs="Arial" w:eastAsia="Arial" w:hAnsi="Arial"/>
          <w:sz w:val="12"/>
          <w:szCs w:val="12"/>
          <w:color w:val="auto"/>
        </w:rPr>
        <w:t>, for further discussion on the USWM Acquisition. In the second quarter of 2021 and within one year from the Closing Date, the Company finalized its accounting for the business combination, including the purchase price allocation.</w:t>
      </w:r>
    </w:p>
    <w:p>
      <w:pPr>
        <w:spacing w:after="0" w:line="107" w:lineRule="exact"/>
        <w:rPr>
          <w:sz w:val="20"/>
          <w:szCs w:val="20"/>
          <w:color w:val="auto"/>
        </w:rPr>
      </w:pPr>
    </w:p>
    <w:p>
      <w:pPr>
        <w:ind w:left="7" w:firstLine="439"/>
        <w:spacing w:after="0" w:line="264" w:lineRule="auto"/>
        <w:rPr>
          <w:sz w:val="20"/>
          <w:szCs w:val="20"/>
          <w:color w:val="auto"/>
        </w:rPr>
      </w:pPr>
      <w:r>
        <w:rPr>
          <w:rFonts w:ascii="Arial" w:cs="Arial" w:eastAsia="Arial" w:hAnsi="Arial"/>
          <w:sz w:val="12"/>
          <w:szCs w:val="12"/>
          <w:color w:val="auto"/>
        </w:rPr>
        <w:t xml:space="preserve">On April 21, 2020, the Company entered into a Development and Option Agreement (Development Agreement) with Navitor Pharmaceuticals, Inc. (Navitor Inc.) and also acquired an ownership position in Navitor Inc. Under the terms of the Development Agreement, the Company and Navitor Inc. will jointly conduct a Phase II clinical program for NV-5138 (SPN-820) in TRD. In March 2021, Navitor Inc. underwent a legal restructuring whereby Navitor Inc. became a wholly owned subsidiary of a newly formed limited liability company, Navitor Pharmaceuticals, LLC (Navitor LLC). Refer to Note 5, </w:t>
      </w:r>
      <w:r>
        <w:rPr>
          <w:rFonts w:ascii="Arial" w:cs="Arial" w:eastAsia="Arial" w:hAnsi="Arial"/>
          <w:sz w:val="12"/>
          <w:szCs w:val="12"/>
          <w:i w:val="1"/>
          <w:iCs w:val="1"/>
          <w:color w:val="auto"/>
        </w:rPr>
        <w:t>Investments</w:t>
      </w:r>
      <w:r>
        <w:rPr>
          <w:rFonts w:ascii="Arial" w:cs="Arial" w:eastAsia="Arial" w:hAnsi="Arial"/>
          <w:sz w:val="12"/>
          <w:szCs w:val="12"/>
          <w:color w:val="auto"/>
        </w:rPr>
        <w:t>, for further discussion on the Development Agreement and equity investment.</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COVID-19 Impact</w:t>
      </w:r>
    </w:p>
    <w:p>
      <w:pPr>
        <w:spacing w:after="0" w:line="127" w:lineRule="exact"/>
        <w:rPr>
          <w:sz w:val="20"/>
          <w:szCs w:val="20"/>
          <w:color w:val="auto"/>
        </w:rPr>
      </w:pPr>
    </w:p>
    <w:p>
      <w:pPr>
        <w:ind w:left="7" w:right="100" w:firstLine="439"/>
        <w:spacing w:after="0" w:line="304" w:lineRule="auto"/>
        <w:rPr>
          <w:sz w:val="20"/>
          <w:szCs w:val="20"/>
          <w:color w:val="auto"/>
        </w:rPr>
      </w:pPr>
      <w:r>
        <w:rPr>
          <w:rFonts w:ascii="Arial" w:cs="Arial" w:eastAsia="Arial" w:hAnsi="Arial"/>
          <w:sz w:val="11"/>
          <w:szCs w:val="11"/>
          <w:color w:val="auto"/>
        </w:rPr>
        <w:t>While the impact of the ongoing COVID-19 pandemic did not have a material adverse effect on the Company's financial position or results of operations for the three and nine months ended September 30, 2021. The Company continues to closely monitor the events and circumstances surrounding the COVID-19 pandemic and its impact on all aspects of our business operations. Since the situation surrounding the COVID-19 pandemic remains fluid and the duration uncertain, the long-term nature and extent of the impacts of the pandemic on the Company's business operations and financial position cannot be reasonably estimated at this time.</w:t>
      </w:r>
    </w:p>
    <w:p>
      <w:pPr>
        <w:spacing w:after="0" w:line="83" w:lineRule="exact"/>
        <w:rPr>
          <w:sz w:val="20"/>
          <w:szCs w:val="20"/>
          <w:color w:val="auto"/>
        </w:rPr>
      </w:pPr>
    </w:p>
    <w:p>
      <w:pPr>
        <w:ind w:left="7" w:right="8780" w:hanging="7"/>
        <w:spacing w:after="0" w:line="465" w:lineRule="auto"/>
        <w:tabs>
          <w:tab w:leader="none" w:pos="220"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Basis of Presentation</w:t>
      </w:r>
    </w:p>
    <w:p>
      <w:pPr>
        <w:ind w:left="7" w:firstLine="439"/>
        <w:spacing w:after="0" w:line="264" w:lineRule="auto"/>
        <w:rPr>
          <w:sz w:val="20"/>
          <w:szCs w:val="20"/>
          <w:color w:val="auto"/>
        </w:rPr>
      </w:pPr>
      <w:r>
        <w:rPr>
          <w:rFonts w:ascii="Arial" w:cs="Arial" w:eastAsia="Arial" w:hAnsi="Arial"/>
          <w:sz w:val="12"/>
          <w:szCs w:val="12"/>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condensed consolidated financial statements should be read in conjunction with the Company’s most recent Annual Report on Form 10-K, for the year ended December 31, 2020, filed with the SEC.</w:t>
      </w:r>
    </w:p>
    <w:p>
      <w:pPr>
        <w:spacing w:after="0" w:line="107" w:lineRule="exact"/>
        <w:rPr>
          <w:sz w:val="20"/>
          <w:szCs w:val="20"/>
          <w:color w:val="auto"/>
        </w:rPr>
      </w:pPr>
    </w:p>
    <w:p>
      <w:pPr>
        <w:ind w:left="7" w:right="80" w:firstLine="439"/>
        <w:spacing w:after="0" w:line="283" w:lineRule="auto"/>
        <w:rPr>
          <w:sz w:val="20"/>
          <w:szCs w:val="20"/>
          <w:color w:val="auto"/>
        </w:rPr>
      </w:pPr>
      <w:r>
        <w:rPr>
          <w:rFonts w:ascii="Arial" w:cs="Arial" w:eastAsia="Arial" w:hAnsi="Arial"/>
          <w:sz w:val="12"/>
          <w:szCs w:val="12"/>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86"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Company, which is primarily located in the U.S., operates in one operating segment.</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Reclassifications</w:t>
      </w:r>
    </w:p>
    <w:p>
      <w:pPr>
        <w:spacing w:after="0" w:line="137" w:lineRule="exact"/>
        <w:rPr>
          <w:sz w:val="20"/>
          <w:szCs w:val="20"/>
          <w:color w:val="auto"/>
        </w:rPr>
      </w:pPr>
    </w:p>
    <w:p>
      <w:pPr>
        <w:ind w:left="447"/>
        <w:spacing w:after="0"/>
        <w:rPr>
          <w:sz w:val="20"/>
          <w:szCs w:val="20"/>
          <w:color w:val="auto"/>
        </w:rPr>
      </w:pPr>
      <w:r>
        <w:rPr>
          <w:rFonts w:ascii="Arial" w:cs="Arial" w:eastAsia="Arial" w:hAnsi="Arial"/>
          <w:sz w:val="10"/>
          <w:szCs w:val="10"/>
          <w:color w:val="auto"/>
        </w:rPr>
        <w:t>Certain prior year amounts presented as separate noncash line items in the condensed consolidated statements of cash flows have been reclassified to conform to the current year condensed financial statement presentation.</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These reclassifications had no effect on operating cash flows or on our other condensed consolidated financial statements for the three and nine months ended September 30, 2021 and 2020.</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Consolidation</w:t>
      </w:r>
    </w:p>
    <w:p>
      <w:pPr>
        <w:spacing w:after="0" w:line="131" w:lineRule="exact"/>
        <w:rPr>
          <w:sz w:val="20"/>
          <w:szCs w:val="20"/>
          <w:color w:val="auto"/>
        </w:rPr>
      </w:pPr>
    </w:p>
    <w:p>
      <w:pPr>
        <w:ind w:left="7" w:right="420" w:firstLine="439"/>
        <w:spacing w:after="0" w:line="283" w:lineRule="auto"/>
        <w:rPr>
          <w:sz w:val="20"/>
          <w:szCs w:val="20"/>
          <w:color w:val="auto"/>
        </w:rPr>
      </w:pPr>
      <w:r>
        <w:rPr>
          <w:rFonts w:ascii="Arial" w:cs="Arial" w:eastAsia="Arial" w:hAnsi="Arial"/>
          <w:sz w:val="12"/>
          <w:szCs w:val="12"/>
          <w:color w:val="auto"/>
        </w:rPr>
        <w:t>The Company’s condensed consolidated financial statements include those of the Company's wholly-owned subsidiaries and variable interest entities (VIE) where the Company is the primary beneficiary, if any. All significant intercompany transactions and balances have been eliminated in consolidation.</w:t>
      </w:r>
    </w:p>
    <w:p>
      <w:pPr>
        <w:spacing w:after="0" w:line="96"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Company continuously assesses whether it is the primary beneficiary of a VIE, as changes to existing relationships or future transactions may affect its conclusions.</w:t>
      </w:r>
    </w:p>
    <w:p>
      <w:pPr>
        <w:spacing w:after="0" w:line="200" w:lineRule="exact"/>
        <w:rPr>
          <w:sz w:val="20"/>
          <w:szCs w:val="20"/>
          <w:color w:val="auto"/>
        </w:rPr>
      </w:pP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7"/>
          </w:cols>
          <w:pgMar w:left="293" w:top="131" w:right="31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41" w:lineRule="exact"/>
        <w:rPr>
          <w:sz w:val="20"/>
          <w:szCs w:val="20"/>
          <w:color w:val="auto"/>
        </w:rPr>
      </w:pPr>
    </w:p>
    <w:p>
      <w:pPr>
        <w:ind w:right="160" w:firstLine="439"/>
        <w:spacing w:after="0" w:line="331" w:lineRule="auto"/>
        <w:rPr>
          <w:sz w:val="20"/>
          <w:szCs w:val="20"/>
          <w:color w:val="auto"/>
        </w:rPr>
      </w:pPr>
      <w:r>
        <w:rPr>
          <w:rFonts w:ascii="Arial" w:cs="Arial" w:eastAsia="Arial" w:hAnsi="Arial"/>
          <w:sz w:val="11"/>
          <w:szCs w:val="11"/>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63" w:lineRule="exact"/>
        <w:rPr>
          <w:sz w:val="20"/>
          <w:szCs w:val="20"/>
          <w:color w:val="auto"/>
        </w:rPr>
      </w:pPr>
    </w:p>
    <w:p>
      <w:pPr>
        <w:ind w:right="40" w:firstLine="439"/>
        <w:spacing w:after="0" w:line="269" w:lineRule="auto"/>
        <w:rPr>
          <w:sz w:val="20"/>
          <w:szCs w:val="20"/>
          <w:color w:val="auto"/>
        </w:rPr>
      </w:pPr>
      <w:r>
        <w:rPr>
          <w:rFonts w:ascii="Arial" w:cs="Arial" w:eastAsia="Arial" w:hAnsi="Arial"/>
          <w:sz w:val="12"/>
          <w:szCs w:val="12"/>
          <w:color w:val="auto"/>
        </w:rPr>
        <w:t>The extent to which the COVID-19 pandemic may directly or indirectly impact our business, financial condition and results of operations is highly uncertain and subject to change. As a result, certain of our estimates and assumptions, including the provision for sales deductions, the creditworthiness of customers entering into revenue arrangements, and the fair values of our financial instruments, require increased judgment and carry a higher degree of variability and volatility that could result in material changes to our estimates in future periods.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Advertising Expense</w:t>
      </w:r>
    </w:p>
    <w:p>
      <w:pPr>
        <w:spacing w:after="0" w:line="141" w:lineRule="exact"/>
        <w:rPr>
          <w:sz w:val="20"/>
          <w:szCs w:val="20"/>
          <w:color w:val="auto"/>
        </w:rPr>
      </w:pPr>
    </w:p>
    <w:p>
      <w:pPr>
        <w:ind w:right="140" w:firstLine="439"/>
        <w:spacing w:after="0" w:line="283" w:lineRule="auto"/>
        <w:rPr>
          <w:sz w:val="20"/>
          <w:szCs w:val="20"/>
          <w:color w:val="auto"/>
        </w:rPr>
      </w:pPr>
      <w:r>
        <w:rPr>
          <w:rFonts w:ascii="Arial" w:cs="Arial" w:eastAsia="Arial" w:hAnsi="Arial"/>
          <w:sz w:val="12"/>
          <w:szCs w:val="12"/>
          <w:color w:val="auto"/>
        </w:rPr>
        <w:t>Advertising expense includes the cost of promotional materials and activities, such as printed materials and digital marketing, marketing programs and speaker programs. The cost of the Company's advertising efforts are expensed as incurred.</w:t>
      </w:r>
    </w:p>
    <w:p>
      <w:pPr>
        <w:spacing w:after="0" w:line="86" w:lineRule="exact"/>
        <w:rPr>
          <w:sz w:val="20"/>
          <w:szCs w:val="20"/>
          <w:color w:val="auto"/>
        </w:rPr>
      </w:pPr>
    </w:p>
    <w:p>
      <w:pPr>
        <w:ind w:right="120" w:firstLine="439"/>
        <w:spacing w:after="0" w:line="331" w:lineRule="auto"/>
        <w:rPr>
          <w:sz w:val="20"/>
          <w:szCs w:val="20"/>
          <w:color w:val="auto"/>
        </w:rPr>
      </w:pPr>
      <w:r>
        <w:rPr>
          <w:rFonts w:ascii="Arial" w:cs="Arial" w:eastAsia="Arial" w:hAnsi="Arial"/>
          <w:sz w:val="11"/>
          <w:szCs w:val="11"/>
          <w:color w:val="auto"/>
        </w:rPr>
        <w:t xml:space="preserve">The Company incurred approximately $22.6 million and $59.7 million in advertising expense for the three and nine months ended September 30, 2021, respectively, and approximately $15.4 million and $37.9 million for the three and nine months ended September 30, 2020, respectively. These expenses are recorded as a component of </w:t>
      </w:r>
      <w:r>
        <w:rPr>
          <w:rFonts w:ascii="Arial" w:cs="Arial" w:eastAsia="Arial" w:hAnsi="Arial"/>
          <w:sz w:val="11"/>
          <w:szCs w:val="11"/>
          <w:i w:val="1"/>
          <w:iCs w:val="1"/>
          <w:color w:val="auto"/>
        </w:rPr>
        <w:t>Selling, general and administrative expenses</w:t>
      </w:r>
      <w:r>
        <w:rPr>
          <w:rFonts w:ascii="Arial" w:cs="Arial" w:eastAsia="Arial" w:hAnsi="Arial"/>
          <w:sz w:val="11"/>
          <w:szCs w:val="11"/>
          <w:color w:val="auto"/>
        </w:rPr>
        <w:t xml:space="preserve"> in the condensed consolidated statements of earnings.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Accounting Pronouncements Adopted</w:t>
      </w:r>
    </w:p>
    <w:p>
      <w:pPr>
        <w:spacing w:after="0" w:line="127" w:lineRule="exact"/>
        <w:rPr>
          <w:sz w:val="20"/>
          <w:szCs w:val="20"/>
          <w:color w:val="auto"/>
        </w:rPr>
      </w:pPr>
    </w:p>
    <w:p>
      <w:pPr>
        <w:ind w:right="220" w:firstLine="439"/>
        <w:spacing w:after="0" w:line="283" w:lineRule="auto"/>
        <w:rPr>
          <w:sz w:val="20"/>
          <w:szCs w:val="20"/>
          <w:color w:val="auto"/>
        </w:rPr>
      </w:pPr>
      <w:r>
        <w:rPr>
          <w:rFonts w:ascii="Arial" w:cs="Arial" w:eastAsia="Arial" w:hAnsi="Arial"/>
          <w:sz w:val="12"/>
          <w:szCs w:val="12"/>
          <w:color w:val="auto"/>
        </w:rPr>
        <w:t xml:space="preserve">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xml:space="preserve"> - The new standard, issued in December 2019, simplifies the accounting for income taxes. The Company adopted the guidance on January 1, 2021, on a prospective basis. The adoption of the new standard did not have a material impact to the financial statements.</w:t>
      </w:r>
    </w:p>
    <w:p>
      <w:pPr>
        <w:spacing w:after="0" w:line="86" w:lineRule="exact"/>
        <w:rPr>
          <w:sz w:val="20"/>
          <w:szCs w:val="20"/>
          <w:color w:val="auto"/>
        </w:rPr>
      </w:pPr>
    </w:p>
    <w:p>
      <w:pPr>
        <w:ind w:right="20" w:firstLine="439"/>
        <w:spacing w:after="0" w:line="261" w:lineRule="auto"/>
        <w:rPr>
          <w:sz w:val="20"/>
          <w:szCs w:val="20"/>
          <w:color w:val="auto"/>
        </w:rPr>
      </w:pPr>
      <w:r>
        <w:rPr>
          <w:rFonts w:ascii="Arial" w:cs="Arial" w:eastAsia="Arial" w:hAnsi="Arial"/>
          <w:sz w:val="12"/>
          <w:szCs w:val="12"/>
          <w:color w:val="auto"/>
        </w:rPr>
        <w:t xml:space="preserve">ASU 2020-01, </w:t>
      </w:r>
      <w:r>
        <w:rPr>
          <w:rFonts w:ascii="Arial" w:cs="Arial" w:eastAsia="Arial" w:hAnsi="Arial"/>
          <w:sz w:val="12"/>
          <w:szCs w:val="12"/>
          <w:i w:val="1"/>
          <w:iCs w:val="1"/>
          <w:color w:val="auto"/>
        </w:rPr>
        <w:t>Investments — Equity Securities (Topic 321), Investments — Equity Method and Joint Ventures (Topic 323), and Derivatives and Hedging (Topic 815), Clarifying the Interactions between Topic 321, Topic</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323, and Topic 815 </w:t>
      </w:r>
      <w:r>
        <w:rPr>
          <w:rFonts w:ascii="Arial" w:cs="Arial" w:eastAsia="Arial" w:hAnsi="Arial"/>
          <w:sz w:val="12"/>
          <w:szCs w:val="12"/>
          <w:color w:val="auto"/>
        </w:rPr>
        <w:t>- The new standard, issued in January 2020, clarifies the interaction of the equity securities under Topic 321 and investments accounted for under the equity method of accounting in Topic 323 and the accounting</w:t>
      </w:r>
      <w:r>
        <w:rPr>
          <w:rFonts w:ascii="Arial" w:cs="Arial" w:eastAsia="Arial" w:hAnsi="Arial"/>
          <w:sz w:val="12"/>
          <w:szCs w:val="12"/>
          <w:i w:val="1"/>
          <w:iCs w:val="1"/>
          <w:color w:val="auto"/>
        </w:rPr>
        <w:t xml:space="preserve"> </w:t>
      </w:r>
      <w:r>
        <w:rPr>
          <w:rFonts w:ascii="Arial" w:cs="Arial" w:eastAsia="Arial" w:hAnsi="Arial"/>
          <w:sz w:val="12"/>
          <w:szCs w:val="12"/>
          <w:color w:val="auto"/>
        </w:rPr>
        <w:t>for certain contracts and purchased options accounted for under Topic 815. The amendment clarifies that an entity can elect to adopt the measurement alternative, which is if an entity identifies observable price changes in orderly transactions for the identical or a similar investment of the same issuer, it should measure the equity security at fair value as of the date that the observable transaction occurred before applying or upon discontinuing the equity method. The adoption of the new standard as of January 1, 2021 did not have a material impact to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 Accounting Pronouncements Not Yet Adopted</w:t>
      </w:r>
    </w:p>
    <w:p>
      <w:pPr>
        <w:spacing w:after="0" w:line="127" w:lineRule="exact"/>
        <w:rPr>
          <w:sz w:val="20"/>
          <w:szCs w:val="20"/>
          <w:color w:val="auto"/>
        </w:rPr>
      </w:pPr>
    </w:p>
    <w:p>
      <w:pPr>
        <w:ind w:firstLine="439"/>
        <w:spacing w:after="0" w:line="269" w:lineRule="auto"/>
        <w:rPr>
          <w:sz w:val="20"/>
          <w:szCs w:val="20"/>
          <w:color w:val="auto"/>
        </w:rPr>
      </w:pPr>
      <w:r>
        <w:rPr>
          <w:rFonts w:ascii="Arial" w:cs="Arial" w:eastAsia="Arial" w:hAnsi="Arial"/>
          <w:sz w:val="12"/>
          <w:szCs w:val="12"/>
          <w:color w:val="auto"/>
        </w:rPr>
        <w:t xml:space="preserve">ASU 2020-06, </w:t>
      </w:r>
      <w:r>
        <w:rPr>
          <w:rFonts w:ascii="Arial" w:cs="Arial" w:eastAsia="Arial" w:hAnsi="Arial"/>
          <w:sz w:val="12"/>
          <w:szCs w:val="12"/>
          <w:i w:val="1"/>
          <w:iCs w:val="1"/>
          <w:color w:val="auto"/>
        </w:rPr>
        <w:t>Debt - Debt with Conversion and Other Options (Subtopic 470-20) and Derivatives and Hedging - Contracts in Entity's Own Equity (Subtopic 815-40): Accounting for Convertible Instruments and Contracts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 an Entity's Own Equity </w:t>
      </w:r>
      <w:r>
        <w:rPr>
          <w:rFonts w:ascii="Arial" w:cs="Arial" w:eastAsia="Arial" w:hAnsi="Arial"/>
          <w:sz w:val="12"/>
          <w:szCs w:val="12"/>
          <w:color w:val="auto"/>
        </w:rPr>
        <w:t>- The new standard, issued in August 2020, simplifies the accounting and disclosures for convertible instruments and contracts. This guidance will be effective on January 1, 2022 on a prospective basis.</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is currently evaluating the impact of the new guidance on its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USWM Acquisition</w:t>
      </w:r>
    </w:p>
    <w:p>
      <w:pPr>
        <w:spacing w:after="0" w:line="141" w:lineRule="exact"/>
        <w:rPr>
          <w:sz w:val="20"/>
          <w:szCs w:val="20"/>
          <w:color w:val="auto"/>
        </w:rPr>
      </w:pPr>
    </w:p>
    <w:p>
      <w:pPr>
        <w:ind w:firstLine="439"/>
        <w:spacing w:after="0" w:line="295" w:lineRule="auto"/>
        <w:rPr>
          <w:sz w:val="20"/>
          <w:szCs w:val="20"/>
          <w:color w:val="auto"/>
        </w:rPr>
      </w:pPr>
      <w:r>
        <w:rPr>
          <w:rFonts w:ascii="Arial" w:cs="Arial" w:eastAsia="Arial" w:hAnsi="Arial"/>
          <w:sz w:val="11"/>
          <w:szCs w:val="11"/>
          <w:color w:val="auto"/>
        </w:rPr>
        <w:t>On June 9, 2020 (the Closing Date), the Company completed its acquisition of all of the outstanding equity of USWM Enterprises LLC (USWM Enterprises), a privately-held biopharmaceutical company, pursuant to a Sale and Purchase Agreement with US WorldMeds Partners, LLC (Seller), dated April 28, 2020 (the Agreement). Under the terms of the Agreement, the Company acquired the right to further develop and commercialize APOKYN, XADAGO, and the Apomorphine Infusion Pump (SPN-830; the In Process Research and Development (IPR&amp;D) asset) in the U.S. and MYOBLOC worldwide (the Products) for an upfront cash payment of $297.2 million, subject</w:t>
      </w:r>
    </w:p>
    <w:p>
      <w:pPr>
        <w:ind w:right="500"/>
        <w:spacing w:after="0" w:line="283" w:lineRule="auto"/>
        <w:rPr>
          <w:sz w:val="20"/>
          <w:szCs w:val="20"/>
          <w:color w:val="auto"/>
        </w:rPr>
      </w:pPr>
      <w:r>
        <w:rPr>
          <w:rFonts w:ascii="Arial" w:cs="Arial" w:eastAsia="Arial" w:hAnsi="Arial"/>
          <w:sz w:val="12"/>
          <w:szCs w:val="12"/>
          <w:color w:val="auto"/>
        </w:rPr>
        <w:t>to working capital adjustments, and the potential for additional contingent consideration payments of up to $230 million. In the second quarter of 2021 and within one year from the Closing Date, the Company finalized its accounting for the business combination, including the purchase price allocation.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potential $230 million in contingent consideration payments includes up to $130 million for the achievement of certain SPN-830 regulatory and commercial activities (regulatory and developmental contingent</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consideration payments) and up to $100 million related to future sales performance of the Products (sales-based contingent consideration payments). The regulatory and developmental contingent consideration payments include a</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$25 million milestone due upon the FDA's acceptance of the SPN-830 New Drug Application (NDA) for review. The remaining $105 million of the $130 million regulatory and developmental contingent consideration includes</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payments upon the FDA's regulatory approval and subsequent commercial launch by the Company of SPN-830, if approved. One of the regulatory milestones has a time-based mechanism for full or partial achievement. The</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$100 million sales-based contingent consideration payments include a $35 million milestone due upon achievement of certain U.S. net product sales of APOKYN during 2021. The remaining $65 million of the $100 million sales-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based contingent consideration payments relate to the achievement of certain net product sales of the Products in 2022 and 2023. Refer to “</w:t>
      </w:r>
      <w:r>
        <w:rPr>
          <w:rFonts w:ascii="Arial" w:cs="Arial" w:eastAsia="Arial" w:hAnsi="Arial"/>
          <w:sz w:val="12"/>
          <w:szCs w:val="12"/>
          <w:i w:val="1"/>
          <w:iCs w:val="1"/>
          <w:color w:val="auto"/>
        </w:rPr>
        <w:t>Contingent Consideration</w:t>
      </w:r>
      <w:r>
        <w:rPr>
          <w:rFonts w:ascii="Arial" w:cs="Arial" w:eastAsia="Arial" w:hAnsi="Arial"/>
          <w:sz w:val="12"/>
          <w:szCs w:val="12"/>
          <w:color w:val="auto"/>
        </w:rPr>
        <w:t>” section below for further discussion.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Purchase Price Consideration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summarizes the purchase price consideration (unaudited):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95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rPr>
              <w:t>Amount</w:t>
            </w:r>
          </w:p>
        </w:tc>
      </w:tr>
      <w:tr>
        <w:trPr>
          <w:trHeight w:val="149"/>
        </w:trPr>
        <w:tc>
          <w:tcPr>
            <w:tcW w:w="9560" w:type="dxa"/>
            <w:vAlign w:val="bottom"/>
            <w:shd w:val="clear" w:color="auto" w:fill="CCEEFF"/>
          </w:tcPr>
          <w:p>
            <w:pPr>
              <w:spacing w:after="0"/>
              <w:rPr>
                <w:sz w:val="20"/>
                <w:szCs w:val="20"/>
                <w:color w:val="auto"/>
              </w:rPr>
            </w:pPr>
            <w:r>
              <w:rPr>
                <w:rFonts w:ascii="Arial" w:cs="Arial" w:eastAsia="Arial" w:hAnsi="Arial"/>
                <w:sz w:val="12"/>
                <w:szCs w:val="12"/>
                <w:color w:val="auto"/>
              </w:rPr>
              <w:t>Cash consideration</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306,485</w:t>
            </w:r>
          </w:p>
        </w:tc>
      </w:tr>
      <w:tr>
        <w:trPr>
          <w:trHeight w:val="155"/>
        </w:trPr>
        <w:tc>
          <w:tcPr>
            <w:tcW w:w="9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Fair value of contingent consideration</w:t>
            </w: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74,800</w:t>
            </w:r>
          </w:p>
        </w:tc>
      </w:tr>
      <w:tr>
        <w:trPr>
          <w:trHeight w:val="162"/>
        </w:trPr>
        <w:tc>
          <w:tcPr>
            <w:tcW w:w="9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purchase consideration</w:t>
            </w:r>
          </w:p>
        </w:tc>
        <w:tc>
          <w:tcPr>
            <w:tcW w:w="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381,285</w:t>
            </w:r>
          </w:p>
        </w:tc>
      </w:tr>
      <w:tr>
        <w:trPr>
          <w:trHeight w:val="165"/>
        </w:trPr>
        <w:tc>
          <w:tcPr>
            <w:tcW w:w="9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6"/>
        </w:trPr>
        <w:tc>
          <w:tcPr>
            <w:tcW w:w="9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consideration to Seller - net of cash acquired</w:t>
            </w:r>
          </w:p>
        </w:tc>
        <w:tc>
          <w:tcPr>
            <w:tcW w:w="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299,491</w:t>
            </w:r>
          </w:p>
        </w:tc>
      </w:tr>
      <w:tr>
        <w:trPr>
          <w:trHeight w:val="325"/>
        </w:trPr>
        <w:tc>
          <w:tcPr>
            <w:tcW w:w="9560" w:type="dxa"/>
            <w:vAlign w:val="bottom"/>
          </w:tcPr>
          <w:p>
            <w:pPr>
              <w:spacing w:after="0"/>
              <w:rPr>
                <w:sz w:val="20"/>
                <w:szCs w:val="20"/>
                <w:color w:val="auto"/>
              </w:rPr>
            </w:pPr>
            <w:r>
              <w:rPr>
                <w:rFonts w:ascii="Arial" w:cs="Arial" w:eastAsia="Arial" w:hAnsi="Arial"/>
                <w:sz w:val="12"/>
                <w:szCs w:val="12"/>
                <w:i w:val="1"/>
                <w:iCs w:val="1"/>
                <w:color w:val="auto"/>
              </w:rPr>
              <w:t>Contingent Consideration</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11" w:lineRule="exact"/>
        <w:rPr>
          <w:sz w:val="20"/>
          <w:szCs w:val="20"/>
          <w:color w:val="auto"/>
        </w:rPr>
      </w:pPr>
    </w:p>
    <w:p>
      <w:pPr>
        <w:jc w:val="both"/>
        <w:ind w:right="20" w:firstLine="439"/>
        <w:spacing w:after="0" w:line="283" w:lineRule="auto"/>
        <w:rPr>
          <w:sz w:val="20"/>
          <w:szCs w:val="20"/>
          <w:color w:val="auto"/>
        </w:rPr>
      </w:pPr>
      <w:r>
        <w:rPr>
          <w:rFonts w:ascii="Arial" w:cs="Arial" w:eastAsia="Arial" w:hAnsi="Arial"/>
          <w:sz w:val="12"/>
          <w:szCs w:val="12"/>
          <w:color w:val="auto"/>
        </w:rPr>
        <w:t>In addition to the cash paid to the Seller, contingent payments of up to $230 million are also due to the Seller upon the achievement of certain milestones related to the development of SPN-830 and sale of the Products. The possible outcomes for the contingent consideration range from $0, if no milestone is achieved, to $230 million on an undiscounted basis if all milestones are achieved.</w:t>
      </w:r>
    </w:p>
    <w:p>
      <w:pPr>
        <w:spacing w:after="0" w:line="96" w:lineRule="exact"/>
        <w:rPr>
          <w:sz w:val="20"/>
          <w:szCs w:val="20"/>
          <w:color w:val="auto"/>
        </w:rPr>
      </w:pPr>
    </w:p>
    <w:p>
      <w:pPr>
        <w:ind w:right="40" w:firstLine="439"/>
        <w:spacing w:after="0" w:line="258" w:lineRule="auto"/>
        <w:rPr>
          <w:sz w:val="20"/>
          <w:szCs w:val="20"/>
          <w:color w:val="auto"/>
        </w:rPr>
      </w:pPr>
      <w:r>
        <w:rPr>
          <w:rFonts w:ascii="Arial" w:cs="Arial" w:eastAsia="Arial" w:hAnsi="Arial"/>
          <w:sz w:val="12"/>
          <w:szCs w:val="12"/>
          <w:color w:val="auto"/>
        </w:rPr>
        <w:t xml:space="preserve">The Company initially recorded a contingent consideration liability of $115.7 million as of the Closing Date to reflect the estimated fair value of the contingent consideration based on information available at that time. The estimated fair value of the contingent consideration was determined using a Monte Carlo simulation for the sales-based contingent consideration payments and an income approach for the regulatory and developmental contingent consideration payments. The key assumptions considered in estimating the fair value include the estimated probability and timing of milestone achievement, such as the probability and timing of obtaining regulatory approval, discount rate, the estimated revenue volatility and the estimated amount and timing of projected revenues from the Products. Subsequent to the Closing Date, the Company adjusted the contingent consideration fair value based on new information related to the facts and circumstances that existed as of the acquisition date related to the timing of meeting the conditions of the milestone payments that are contingent upon regulatory approval and commercial launch of the acquired IPR&amp;D asset as well as the estimated timing of projected revenues from the Products. As a result, the Company recorded in the fourth quarter of 2020, a measurement period adjustment of $40.9 million, which decreased the estimated fair value of the contingent consideration liability as of the Closing Date to $74.8 million. Refer to contingent consideration discussion in Note 6, </w:t>
      </w:r>
      <w:r>
        <w:rPr>
          <w:rFonts w:ascii="Arial" w:cs="Arial" w:eastAsia="Arial" w:hAnsi="Arial"/>
          <w:sz w:val="12"/>
          <w:szCs w:val="12"/>
          <w:i w:val="1"/>
          <w:iCs w:val="1"/>
          <w:color w:val="auto"/>
        </w:rPr>
        <w:t>Fair Value of Financial Instruments and Contingent</w:t>
      </w:r>
      <w:r>
        <w:rPr>
          <w:rFonts w:ascii="Arial" w:cs="Arial" w:eastAsia="Arial" w:hAnsi="Arial"/>
          <w:sz w:val="12"/>
          <w:szCs w:val="12"/>
          <w:color w:val="auto"/>
        </w:rPr>
        <w:t xml:space="preserve"> </w:t>
      </w:r>
      <w:r>
        <w:rPr>
          <w:rFonts w:ascii="Arial" w:cs="Arial" w:eastAsia="Arial" w:hAnsi="Arial"/>
          <w:sz w:val="12"/>
          <w:szCs w:val="12"/>
          <w:i w:val="1"/>
          <w:iCs w:val="1"/>
          <w:color w:val="auto"/>
        </w:rPr>
        <w:t>Consideration.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Fair Value of Net Assets Acquired</w:t>
      </w:r>
    </w:p>
    <w:p>
      <w:pPr>
        <w:spacing w:after="0" w:line="137"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table presents the total purchase price and the fair value of assets acquired and liabilities assumed as of the Closing Date (unaudited, dollars in thousands):</w:t>
      </w:r>
    </w:p>
    <w:p>
      <w:pPr>
        <w:spacing w:after="0" w:line="30" w:lineRule="exact"/>
        <w:rPr>
          <w:sz w:val="20"/>
          <w:szCs w:val="20"/>
          <w:color w:val="auto"/>
        </w:rPr>
      </w:pPr>
    </w:p>
    <w:p>
      <w:pPr>
        <w:jc w:val="right"/>
        <w:ind w:right="660"/>
        <w:spacing w:after="0"/>
        <w:rPr>
          <w:sz w:val="20"/>
          <w:szCs w:val="20"/>
          <w:color w:val="auto"/>
        </w:rPr>
      </w:pPr>
      <w:r>
        <w:rPr>
          <w:rFonts w:ascii="Arial" w:cs="Arial" w:eastAsia="Arial" w:hAnsi="Arial"/>
          <w:sz w:val="10"/>
          <w:szCs w:val="10"/>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6770" cy="104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770" cy="104775"/>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p>
      <w:pPr>
        <w:spacing w:after="0" w:line="28" w:lineRule="exact"/>
        <w:rPr>
          <w:sz w:val="20"/>
          <w:szCs w:val="20"/>
          <w:color w:val="auto"/>
        </w:rPr>
      </w:pPr>
    </w:p>
    <w:p>
      <w:pPr>
        <w:ind w:left="7"/>
        <w:spacing w:after="0"/>
        <w:rPr>
          <w:sz w:val="20"/>
          <w:szCs w:val="20"/>
          <w:color w:val="auto"/>
        </w:rPr>
      </w:pPr>
      <w:r>
        <w:rPr>
          <w:rFonts w:ascii="Arial" w:cs="Arial" w:eastAsia="Arial" w:hAnsi="Arial"/>
          <w:sz w:val="12"/>
          <w:szCs w:val="12"/>
          <w:color w:val="auto"/>
        </w:rPr>
        <w:t>Cash and cash equivalents</w:t>
      </w:r>
    </w:p>
    <w:p>
      <w:pPr>
        <w:spacing w:after="0" w:line="18" w:lineRule="exact"/>
        <w:rPr>
          <w:sz w:val="20"/>
          <w:szCs w:val="20"/>
          <w:color w:val="auto"/>
        </w:rPr>
      </w:pPr>
    </w:p>
    <w:p>
      <w:pPr>
        <w:ind w:left="7"/>
        <w:spacing w:after="0"/>
        <w:rPr>
          <w:sz w:val="20"/>
          <w:szCs w:val="20"/>
          <w:color w:val="auto"/>
        </w:rPr>
      </w:pPr>
      <w:r>
        <w:rPr>
          <w:rFonts w:ascii="Arial" w:cs="Arial" w:eastAsia="Arial" w:hAnsi="Arial"/>
          <w:sz w:val="12"/>
          <w:szCs w:val="12"/>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6770" cy="99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770" cy="99060"/>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color w:val="auto"/>
        </w:rPr>
        <w:t>Inventories, net</w:t>
      </w:r>
    </w:p>
    <w:p>
      <w:pPr>
        <w:spacing w:after="0" w:line="18" w:lineRule="exact"/>
        <w:rPr>
          <w:sz w:val="20"/>
          <w:szCs w:val="20"/>
          <w:color w:val="auto"/>
        </w:rPr>
      </w:pPr>
    </w:p>
    <w:p>
      <w:pPr>
        <w:ind w:left="7"/>
        <w:spacing w:after="0"/>
        <w:rPr>
          <w:sz w:val="20"/>
          <w:szCs w:val="20"/>
          <w:color w:val="auto"/>
        </w:rPr>
      </w:pPr>
      <w:r>
        <w:rPr>
          <w:rFonts w:ascii="Arial" w:cs="Arial" w:eastAsia="Arial" w:hAnsi="Arial"/>
          <w:sz w:val="11"/>
          <w:szCs w:val="11"/>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76770" cy="99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770" cy="99060"/>
                    </a:xfrm>
                    <a:prstGeom prst="rect">
                      <a:avLst/>
                    </a:prstGeom>
                    <a:noFill/>
                  </pic:spPr>
                </pic:pic>
              </a:graphicData>
            </a:graphic>
          </wp:anchor>
        </w:drawing>
      </w:r>
    </w:p>
    <w:p>
      <w:pPr>
        <w:spacing w:after="0" w:line="9" w:lineRule="exact"/>
        <w:rPr>
          <w:sz w:val="20"/>
          <w:szCs w:val="20"/>
          <w:color w:val="auto"/>
        </w:rPr>
      </w:pPr>
    </w:p>
    <w:p>
      <w:pPr>
        <w:ind w:left="7"/>
        <w:spacing w:after="0"/>
        <w:rPr>
          <w:sz w:val="20"/>
          <w:szCs w:val="20"/>
          <w:color w:val="auto"/>
        </w:rPr>
      </w:pPr>
      <w:r>
        <w:rPr>
          <w:rFonts w:ascii="Arial" w:cs="Arial" w:eastAsia="Arial" w:hAnsi="Arial"/>
          <w:sz w:val="12"/>
          <w:szCs w:val="12"/>
          <w:color w:val="auto"/>
        </w:rPr>
        <w:t>Property and equipment, net</w:t>
      </w:r>
    </w:p>
    <w:p>
      <w:pPr>
        <w:spacing w:after="0" w:line="11"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Operating lease asset </w:t>
      </w:r>
      <w:r>
        <w:rPr>
          <w:rFonts w:ascii="Arial" w:cs="Arial" w:eastAsia="Arial" w:hAnsi="Arial"/>
          <w:sz w:val="15"/>
          <w:szCs w:val="1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6770" cy="99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770" cy="99060"/>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color w:val="auto"/>
        </w:rPr>
        <w:t>Intangible assets</w:t>
      </w:r>
    </w:p>
    <w:p>
      <w:pPr>
        <w:spacing w:after="0" w:line="8" w:lineRule="exact"/>
        <w:rPr>
          <w:sz w:val="20"/>
          <w:szCs w:val="20"/>
          <w:color w:val="auto"/>
        </w:rPr>
      </w:pPr>
    </w:p>
    <w:p>
      <w:pPr>
        <w:ind w:left="7"/>
        <w:spacing w:after="0"/>
        <w:rPr>
          <w:sz w:val="20"/>
          <w:szCs w:val="20"/>
          <w:color w:val="auto"/>
        </w:rPr>
      </w:pPr>
      <w:r>
        <w:rPr>
          <w:rFonts w:ascii="Arial" w:cs="Arial" w:eastAsia="Arial" w:hAnsi="Arial"/>
          <w:sz w:val="12"/>
          <w:szCs w:val="12"/>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6770" cy="104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104775"/>
                    </a:xfrm>
                    <a:prstGeom prst="rect">
                      <a:avLst/>
                    </a:prstGeom>
                    <a:noFill/>
                  </pic:spPr>
                </pic:pic>
              </a:graphicData>
            </a:graphic>
          </wp:anchor>
        </w:drawing>
      </w:r>
    </w:p>
    <w:p>
      <w:pPr>
        <w:spacing w:after="0" w:line="7" w:lineRule="exact"/>
        <w:rPr>
          <w:sz w:val="20"/>
          <w:szCs w:val="20"/>
          <w:color w:val="auto"/>
        </w:rPr>
      </w:pPr>
    </w:p>
    <w:p>
      <w:pPr>
        <w:ind w:left="167"/>
        <w:spacing w:after="0"/>
        <w:rPr>
          <w:sz w:val="20"/>
          <w:szCs w:val="20"/>
          <w:color w:val="auto"/>
        </w:rPr>
      </w:pPr>
      <w:r>
        <w:rPr>
          <w:rFonts w:ascii="Arial" w:cs="Arial" w:eastAsia="Arial" w:hAnsi="Arial"/>
          <w:sz w:val="12"/>
          <w:szCs w:val="12"/>
          <w:color w:val="auto"/>
        </w:rPr>
        <w:t>Total fair value of assets acquired</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2"/>
          <w:szCs w:val="12"/>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6770" cy="99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770" cy="99060"/>
                    </a:xfrm>
                    <a:prstGeom prst="rect">
                      <a:avLst/>
                    </a:prstGeom>
                    <a:noFill/>
                  </pic:spPr>
                </pic:pic>
              </a:graphicData>
            </a:graphic>
          </wp:anchor>
        </w:drawing>
      </w:r>
    </w:p>
    <w:p>
      <w:pPr>
        <w:ind w:left="7"/>
        <w:spacing w:after="0"/>
        <w:rPr>
          <w:sz w:val="20"/>
          <w:szCs w:val="20"/>
          <w:color w:val="auto"/>
        </w:rPr>
      </w:pPr>
      <w:r>
        <w:rPr>
          <w:rFonts w:ascii="Arial" w:cs="Arial" w:eastAsia="Arial" w:hAnsi="Arial"/>
          <w:sz w:val="11"/>
          <w:szCs w:val="11"/>
          <w:color w:val="auto"/>
        </w:rPr>
        <w:t>Accrued expenses and other current liabilities</w:t>
      </w:r>
    </w:p>
    <w:p>
      <w:pPr>
        <w:spacing w:after="0" w:line="14"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Operating lease liability </w:t>
      </w:r>
      <w:r>
        <w:rPr>
          <w:rFonts w:ascii="Arial" w:cs="Arial" w:eastAsia="Arial" w:hAnsi="Arial"/>
          <w:sz w:val="15"/>
          <w:szCs w:val="1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76770" cy="99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99060"/>
                    </a:xfrm>
                    <a:prstGeom prst="rect">
                      <a:avLst/>
                    </a:prstGeom>
                    <a:noFill/>
                  </pic:spPr>
                </pic:pic>
              </a:graphicData>
            </a:graphic>
          </wp:anchor>
        </w:drawing>
      </w:r>
    </w:p>
    <w:p>
      <w:pPr>
        <w:ind w:left="7"/>
        <w:spacing w:after="0" w:line="212" w:lineRule="auto"/>
        <w:rPr>
          <w:sz w:val="20"/>
          <w:szCs w:val="20"/>
          <w:color w:val="auto"/>
        </w:rPr>
      </w:pPr>
      <w:r>
        <w:rPr>
          <w:rFonts w:ascii="Arial" w:cs="Arial" w:eastAsia="Arial" w:hAnsi="Arial"/>
          <w:sz w:val="12"/>
          <w:szCs w:val="12"/>
          <w:color w:val="auto"/>
        </w:rPr>
        <w:t xml:space="preserve">Deferred income tax liabilities, net </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740" w:type="dxa"/>
            <w:vAlign w:val="bottom"/>
            <w:tcBorders>
              <w:top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6,994</w:t>
            </w:r>
          </w:p>
        </w:tc>
      </w:tr>
    </w:tbl>
    <w:p>
      <w:pPr>
        <w:jc w:val="right"/>
        <w:ind w:right="60"/>
        <w:spacing w:after="0"/>
        <w:rPr>
          <w:sz w:val="20"/>
          <w:szCs w:val="20"/>
          <w:color w:val="auto"/>
        </w:rPr>
      </w:pPr>
      <w:r>
        <w:rPr>
          <w:rFonts w:ascii="Arial" w:cs="Arial" w:eastAsia="Arial" w:hAnsi="Arial"/>
          <w:sz w:val="12"/>
          <w:szCs w:val="12"/>
          <w:color w:val="auto"/>
        </w:rPr>
        <w:t>18,474</w:t>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11,600</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3,564</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454</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11,029</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355,000</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340</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407,455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10426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4265" cy="571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(2,573)</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(23,339)</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(11,029)</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(67,192)</w:t>
      </w:r>
    </w:p>
    <w:p>
      <w:pPr>
        <w:spacing w:after="0" w:line="29" w:lineRule="exact"/>
        <w:rPr>
          <w:sz w:val="20"/>
          <w:szCs w:val="20"/>
          <w:color w:val="auto"/>
        </w:rPr>
      </w:pPr>
    </w:p>
    <w:p>
      <w:pPr>
        <w:sectPr>
          <w:pgSz w:w="11900" w:h="16838" w:orient="portrait"/>
          <w:cols w:equalWidth="0" w:num="2">
            <w:col w:w="8847" w:space="720"/>
            <w:col w:w="1740"/>
          </w:cols>
          <w:pgMar w:left="293" w:top="131" w:right="299" w:bottom="1440" w:gutter="0" w:footer="0" w:header="0"/>
          <w:type w:val="continuous"/>
        </w:sectPr>
      </w:pPr>
    </w:p>
    <w:tbl>
      <w:tblPr>
        <w:tblLayout w:type="fixed"/>
        <w:tblInd w:w="7" w:type="dxa"/>
        <w:tblCellMar>
          <w:top w:w="0" w:type="dxa"/>
          <w:left w:w="0" w:type="dxa"/>
          <w:bottom w:w="0" w:type="dxa"/>
          <w:right w:w="0" w:type="dxa"/>
        </w:tblCellMar>
      </w:tblPr>
      <w:tr>
        <w:trPr>
          <w:trHeight w:val="145"/>
        </w:trPr>
        <w:tc>
          <w:tcPr>
            <w:tcW w:w="95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Total fair value of liabilities assumed</w:t>
            </w:r>
          </w:p>
        </w:tc>
        <w:tc>
          <w:tcPr>
            <w:tcW w:w="6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(104,133)</w:t>
            </w:r>
          </w:p>
        </w:tc>
      </w:tr>
      <w:tr>
        <w:trPr>
          <w:trHeight w:val="145"/>
        </w:trPr>
        <w:tc>
          <w:tcPr>
            <w:tcW w:w="9560" w:type="dxa"/>
            <w:vAlign w:val="bottom"/>
            <w:shd w:val="clear" w:color="auto" w:fill="CCEEFF"/>
          </w:tcPr>
          <w:p>
            <w:pPr>
              <w:spacing w:after="0"/>
              <w:rPr>
                <w:sz w:val="20"/>
                <w:szCs w:val="20"/>
                <w:color w:val="auto"/>
              </w:rPr>
            </w:pPr>
            <w:r>
              <w:rPr>
                <w:rFonts w:ascii="Arial" w:cs="Arial" w:eastAsia="Arial" w:hAnsi="Arial"/>
                <w:sz w:val="12"/>
                <w:szCs w:val="12"/>
                <w:color w:val="auto"/>
              </w:rPr>
              <w:t>Total identifiable net assets</w:t>
            </w:r>
          </w:p>
        </w:tc>
        <w:tc>
          <w:tcPr>
            <w:tcW w:w="660" w:type="dxa"/>
            <w:vAlign w:val="bottom"/>
            <w:shd w:val="clear" w:color="auto" w:fill="CCEEFF"/>
          </w:tcPr>
          <w:p>
            <w:pPr>
              <w:jc w:val="right"/>
              <w:ind w:right="5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303,322</w:t>
            </w:r>
          </w:p>
        </w:tc>
      </w:tr>
      <w:tr>
        <w:trPr>
          <w:trHeight w:val="155"/>
        </w:trPr>
        <w:tc>
          <w:tcPr>
            <w:tcW w:w="9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Goodwill</w:t>
            </w: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77,963</w:t>
            </w:r>
          </w:p>
        </w:tc>
      </w:tr>
      <w:tr>
        <w:trPr>
          <w:trHeight w:val="162"/>
        </w:trPr>
        <w:tc>
          <w:tcPr>
            <w:tcW w:w="9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purchase price</w:t>
            </w:r>
          </w:p>
        </w:tc>
        <w:tc>
          <w:tcPr>
            <w:tcW w:w="660" w:type="dxa"/>
            <w:vAlign w:val="bottom"/>
            <w:tcBorders>
              <w:bottom w:val="single" w:sz="8" w:color="auto"/>
            </w:tcBorders>
            <w:shd w:val="clear" w:color="auto" w:fill="CCEEFF"/>
          </w:tcPr>
          <w:p>
            <w:pPr>
              <w:jc w:val="right"/>
              <w:ind w:right="54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381,285</w:t>
            </w:r>
          </w:p>
        </w:tc>
      </w:tr>
    </w:tbl>
    <w:p>
      <w:pPr>
        <w:spacing w:after="0" w:line="46"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w:t>
      </w:r>
    </w:p>
    <w:p>
      <w:pPr>
        <w:spacing w:after="0" w:line="12" w:lineRule="exact"/>
        <w:rPr>
          <w:sz w:val="20"/>
          <w:szCs w:val="20"/>
          <w:color w:val="auto"/>
        </w:rPr>
      </w:pPr>
    </w:p>
    <w:p>
      <w:pPr>
        <w:ind w:left="127" w:hanging="127"/>
        <w:spacing w:after="0"/>
        <w:tabs>
          <w:tab w:leader="none" w:pos="127" w:val="left"/>
        </w:tabs>
        <w:numPr>
          <w:ilvl w:val="0"/>
          <w:numId w:val="9"/>
        </w:numPr>
        <w:rPr>
          <w:rFonts w:ascii="Arial" w:cs="Arial" w:eastAsia="Arial" w:hAnsi="Arial"/>
          <w:sz w:val="15"/>
          <w:szCs w:val="15"/>
          <w:color w:val="auto"/>
          <w:vertAlign w:val="superscript"/>
        </w:rPr>
      </w:pPr>
      <w:r>
        <w:rPr>
          <w:rFonts w:ascii="Arial" w:cs="Arial" w:eastAsia="Arial" w:hAnsi="Arial"/>
          <w:sz w:val="10"/>
          <w:szCs w:val="10"/>
          <w:color w:val="auto"/>
        </w:rPr>
        <w:t xml:space="preserve">Refer to Note 12, </w:t>
      </w:r>
      <w:r>
        <w:rPr>
          <w:rFonts w:ascii="Arial" w:cs="Arial" w:eastAsia="Arial" w:hAnsi="Arial"/>
          <w:sz w:val="10"/>
          <w:szCs w:val="10"/>
          <w:i w:val="1"/>
          <w:iCs w:val="1"/>
          <w:color w:val="auto"/>
        </w:rPr>
        <w:t>Leases,</w:t>
      </w:r>
      <w:r>
        <w:rPr>
          <w:rFonts w:ascii="Arial" w:cs="Arial" w:eastAsia="Arial" w:hAnsi="Arial"/>
          <w:sz w:val="10"/>
          <w:szCs w:val="10"/>
          <w:color w:val="auto"/>
        </w:rPr>
        <w:t xml:space="preserve"> for further discussion of the acquired lease asset and assumed lease liability.</w:t>
      </w:r>
    </w:p>
    <w:p>
      <w:pPr>
        <w:ind w:left="107" w:hanging="107"/>
        <w:spacing w:after="0" w:line="225" w:lineRule="auto"/>
        <w:tabs>
          <w:tab w:leader="none" w:pos="107" w:val="left"/>
        </w:tabs>
        <w:numPr>
          <w:ilvl w:val="0"/>
          <w:numId w:val="9"/>
        </w:numPr>
        <w:rPr>
          <w:rFonts w:ascii="Arial" w:cs="Arial" w:eastAsia="Arial" w:hAnsi="Arial"/>
          <w:sz w:val="12"/>
          <w:szCs w:val="12"/>
          <w:color w:val="auto"/>
          <w:vertAlign w:val="superscript"/>
        </w:rPr>
      </w:pPr>
      <w:r>
        <w:rPr>
          <w:rFonts w:ascii="Arial" w:cs="Arial" w:eastAsia="Arial" w:hAnsi="Arial"/>
          <w:sz w:val="9"/>
          <w:szCs w:val="9"/>
          <w:color w:val="auto"/>
        </w:rPr>
        <w:t>Includes tax attributes that are subject to tax limitations.</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Acquired Inventory</w:t>
      </w:r>
    </w:p>
    <w:p>
      <w:pPr>
        <w:spacing w:after="0" w:line="118" w:lineRule="exact"/>
        <w:rPr>
          <w:sz w:val="20"/>
          <w:szCs w:val="20"/>
          <w:color w:val="auto"/>
        </w:rPr>
      </w:pPr>
    </w:p>
    <w:p>
      <w:pPr>
        <w:ind w:left="7" w:right="280" w:firstLine="439"/>
        <w:spacing w:after="0" w:line="251" w:lineRule="auto"/>
        <w:rPr>
          <w:sz w:val="20"/>
          <w:szCs w:val="20"/>
          <w:color w:val="auto"/>
        </w:rPr>
      </w:pPr>
      <w:r>
        <w:rPr>
          <w:rFonts w:ascii="Arial" w:cs="Arial" w:eastAsia="Arial" w:hAnsi="Arial"/>
          <w:sz w:val="12"/>
          <w:szCs w:val="12"/>
          <w:color w:val="auto"/>
        </w:rPr>
        <w:t>The fair value of the inventory was determined using the comparative sales method, which estimated the expected sales price of the product, reduced by all costs expected to be incurred to complete or to dispose of the inventory, as well as a profit on the sale.</w:t>
      </w:r>
    </w:p>
    <w:p>
      <w:pPr>
        <w:spacing w:after="0" w:line="9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Acquired Intangible Assets</w:t>
      </w:r>
    </w:p>
    <w:p>
      <w:pPr>
        <w:spacing w:after="0" w:line="137" w:lineRule="exact"/>
        <w:rPr>
          <w:sz w:val="20"/>
          <w:szCs w:val="20"/>
          <w:color w:val="auto"/>
        </w:rPr>
      </w:pPr>
    </w:p>
    <w:p>
      <w:pPr>
        <w:ind w:left="7" w:right="120" w:firstLine="439"/>
        <w:spacing w:after="0" w:line="264" w:lineRule="auto"/>
        <w:rPr>
          <w:sz w:val="20"/>
          <w:szCs w:val="20"/>
          <w:color w:val="auto"/>
        </w:rPr>
      </w:pPr>
      <w:r>
        <w:rPr>
          <w:rFonts w:ascii="Arial" w:cs="Arial" w:eastAsia="Arial" w:hAnsi="Arial"/>
          <w:sz w:val="12"/>
          <w:szCs w:val="12"/>
          <w:color w:val="auto"/>
        </w:rPr>
        <w:t>The acquired intangible assets include the acquired IPR&amp;D asset and the acquired developed technology and product rights. The Company determined the fair value of the acquired intangible assets as of the Closing Date using the income approach. The fair value measurements of the acquired intangible assets were determined based on significant unobservable inputs and therefore, represent a Level 3 fair value measurement. Some of the more significant inputs and assumptions used in the intangible assets valuation include: the timing and probability of success of clinical and regulatory approvals for the IPR&amp;D asset, the estimated future cash flows from Product sales, the timing and projection of costs and expenses, discount rates and tax rates.</w:t>
      </w:r>
    </w:p>
    <w:p>
      <w:pPr>
        <w:spacing w:after="0" w:line="97"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table summarizes the purchase price allocation, and the average remaining useful lives for identifiable intangible assets (unaudited, dollars in thousands):</w:t>
      </w:r>
    </w:p>
    <w:p>
      <w:pPr>
        <w:spacing w:after="0" w:line="1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jc w:val="center"/>
              <w:spacing w:after="0"/>
              <w:rPr>
                <w:sz w:val="20"/>
                <w:szCs w:val="20"/>
                <w:color w:val="auto"/>
              </w:rPr>
            </w:pPr>
            <w:r>
              <w:rPr>
                <w:rFonts w:ascii="Arial" w:cs="Arial" w:eastAsia="Arial" w:hAnsi="Arial"/>
                <w:sz w:val="10"/>
                <w:szCs w:val="10"/>
                <w:b w:val="1"/>
                <w:bCs w:val="1"/>
                <w:color w:val="auto"/>
                <w:w w:val="86"/>
              </w:rPr>
              <w:t>Estimated Useful Lives as of Closing</w:t>
            </w:r>
          </w:p>
        </w:tc>
        <w:tc>
          <w:tcPr>
            <w:tcW w:w="0" w:type="dxa"/>
            <w:vAlign w:val="bottom"/>
          </w:tcPr>
          <w:p>
            <w:pPr>
              <w:spacing w:after="0"/>
              <w:rPr>
                <w:sz w:val="1"/>
                <w:szCs w:val="1"/>
                <w:color w:val="auto"/>
              </w:rPr>
            </w:pPr>
          </w:p>
        </w:tc>
      </w:tr>
      <w:tr>
        <w:trPr>
          <w:trHeight w:val="92"/>
        </w:trPr>
        <w:tc>
          <w:tcPr>
            <w:tcW w:w="40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100" w:type="dxa"/>
            <w:vAlign w:val="bottom"/>
            <w:vMerge w:val="restart"/>
          </w:tcPr>
          <w:p>
            <w:pPr>
              <w:jc w:val="right"/>
              <w:ind w:right="11"/>
              <w:spacing w:after="0"/>
              <w:rPr>
                <w:sz w:val="20"/>
                <w:szCs w:val="20"/>
                <w:color w:val="auto"/>
              </w:rPr>
            </w:pPr>
            <w:r>
              <w:rPr>
                <w:rFonts w:ascii="Arial" w:cs="Arial" w:eastAsia="Arial" w:hAnsi="Arial"/>
                <w:sz w:val="10"/>
                <w:szCs w:val="10"/>
                <w:b w:val="1"/>
                <w:bCs w:val="1"/>
                <w:color w:val="auto"/>
              </w:rPr>
              <w:t>Fair Value</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2"/>
              </w:rPr>
              <w:t>Date</w:t>
            </w:r>
          </w:p>
        </w:tc>
        <w:tc>
          <w:tcPr>
            <w:tcW w:w="0" w:type="dxa"/>
            <w:vAlign w:val="bottom"/>
          </w:tcPr>
          <w:p>
            <w:pPr>
              <w:spacing w:after="0"/>
              <w:rPr>
                <w:sz w:val="1"/>
                <w:szCs w:val="1"/>
                <w:color w:val="auto"/>
              </w:rPr>
            </w:pPr>
          </w:p>
        </w:tc>
      </w:tr>
      <w:tr>
        <w:trPr>
          <w:trHeight w:val="127"/>
        </w:trPr>
        <w:tc>
          <w:tcPr>
            <w:tcW w:w="404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years)</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Acquired IPR&amp;D</w:t>
            </w:r>
          </w:p>
        </w:tc>
        <w:tc>
          <w:tcPr>
            <w:tcW w:w="5040" w:type="dxa"/>
            <w:vAlign w:val="bottom"/>
            <w:gridSpan w:val="2"/>
            <w:shd w:val="clear" w:color="auto" w:fill="CCEEFF"/>
          </w:tcPr>
          <w:p>
            <w:pPr>
              <w:jc w:val="right"/>
              <w:ind w:right="971"/>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124,000</w:t>
            </w: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55"/>
        </w:trPr>
        <w:tc>
          <w:tcPr>
            <w:tcW w:w="4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Acquired developed technology and product rights</w:t>
            </w:r>
          </w:p>
        </w:tc>
        <w:tc>
          <w:tcPr>
            <w:tcW w:w="39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231,000</w:t>
            </w:r>
          </w:p>
        </w:tc>
        <w:tc>
          <w:tcPr>
            <w:tcW w:w="17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2"/>
                <w:szCs w:val="12"/>
                <w:color w:val="auto"/>
                <w:w w:val="90"/>
              </w:rPr>
              <w:t>10.5 - 12.5</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Total intangible assets</w:t>
            </w:r>
          </w:p>
        </w:tc>
        <w:tc>
          <w:tcPr>
            <w:tcW w:w="5040" w:type="dxa"/>
            <w:vAlign w:val="bottom"/>
            <w:gridSpan w:val="2"/>
            <w:shd w:val="clear" w:color="auto" w:fill="CCEEFF"/>
          </w:tcPr>
          <w:p>
            <w:pPr>
              <w:jc w:val="right"/>
              <w:ind w:right="971"/>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355,000</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09"/>
        </w:trPr>
        <w:tc>
          <w:tcPr>
            <w:tcW w:w="404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tcPr>
          <w:p>
            <w:pPr>
              <w:jc w:val="right"/>
              <w:ind w:right="2219"/>
              <w:spacing w:after="0"/>
              <w:rPr>
                <w:sz w:val="20"/>
                <w:szCs w:val="20"/>
                <w:color w:val="auto"/>
              </w:rPr>
            </w:pPr>
            <w:r>
              <w:rPr>
                <w:rFonts w:ascii="Arial" w:cs="Arial" w:eastAsia="Arial" w:hAnsi="Arial"/>
                <w:sz w:val="12"/>
                <w:szCs w:val="12"/>
                <w:color w:val="auto"/>
              </w:rPr>
              <w:t>12</w:t>
            </w:r>
          </w:p>
        </w:tc>
        <w:tc>
          <w:tcPr>
            <w:tcW w:w="1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040" w:type="dxa"/>
            <w:vAlign w:val="bottom"/>
            <w:tcBorders>
              <w:bottom w:val="single" w:sz="8" w:color="9A9A9A"/>
            </w:tcBorders>
          </w:tcPr>
          <w:p>
            <w:pPr>
              <w:spacing w:after="0"/>
              <w:rPr>
                <w:sz w:val="6"/>
                <w:szCs w:val="6"/>
                <w:color w:val="auto"/>
              </w:rPr>
            </w:pPr>
          </w:p>
        </w:tc>
        <w:tc>
          <w:tcPr>
            <w:tcW w:w="39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7157720</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type w:val="continuous"/>
        </w:sectPr>
      </w:pPr>
    </w:p>
    <w:bookmarkStart w:id="12" w:name="page13"/>
    <w:bookmarkEnd w:id="12"/>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right="200" w:firstLine="439"/>
        <w:spacing w:after="0" w:line="283" w:lineRule="auto"/>
        <w:rPr>
          <w:sz w:val="20"/>
          <w:szCs w:val="20"/>
          <w:color w:val="auto"/>
        </w:rPr>
      </w:pPr>
      <w:r>
        <w:rPr>
          <w:rFonts w:ascii="Arial" w:cs="Arial" w:eastAsia="Arial" w:hAnsi="Arial"/>
          <w:sz w:val="12"/>
          <w:szCs w:val="12"/>
          <w:color w:val="auto"/>
        </w:rPr>
        <w:t>Acquired intangible assets, excluding the acquired IPR&amp;D asset, are amortized over their estimated useful lives on a straight-line basis. The IPR&amp;D asset is considered indefinite-lived, until the successful completion or abandonment of the associated research and development efforts.</w:t>
      </w:r>
    </w:p>
    <w:p>
      <w:pPr>
        <w:spacing w:after="0" w:line="9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Goodwill</w:t>
      </w:r>
    </w:p>
    <w:p>
      <w:pPr>
        <w:spacing w:after="0" w:line="127" w:lineRule="exact"/>
        <w:rPr>
          <w:sz w:val="20"/>
          <w:szCs w:val="20"/>
          <w:color w:val="auto"/>
        </w:rPr>
      </w:pPr>
    </w:p>
    <w:p>
      <w:pPr>
        <w:ind w:left="7" w:right="40" w:firstLine="439"/>
        <w:spacing w:after="0" w:line="331" w:lineRule="auto"/>
        <w:rPr>
          <w:sz w:val="20"/>
          <w:szCs w:val="20"/>
          <w:color w:val="auto"/>
        </w:rPr>
      </w:pPr>
      <w:r>
        <w:rPr>
          <w:rFonts w:ascii="Arial" w:cs="Arial" w:eastAsia="Arial" w:hAnsi="Arial"/>
          <w:sz w:val="11"/>
          <w:szCs w:val="11"/>
          <w:color w:val="auto"/>
        </w:rPr>
        <w:t>Goodwill was calculated as the excess of the consideration paid consequent to completing the acquisition, compared to the net assets recognized. Goodwill represents the future economic benefits from the other acquired assets, and which could not be individually identified and separately valued. Goodwill is primarily attributable to the additional acquired growth platforms and an expanded revenue base. Goodwill is not deductible for tax purposes.</w:t>
      </w:r>
    </w:p>
    <w:p>
      <w:pPr>
        <w:spacing w:after="0" w:line="6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MDD Enterprises Operations</w:t>
      </w:r>
    </w:p>
    <w:p>
      <w:pPr>
        <w:spacing w:after="0" w:line="137" w:lineRule="exact"/>
        <w:rPr>
          <w:sz w:val="20"/>
          <w:szCs w:val="20"/>
          <w:color w:val="auto"/>
        </w:rPr>
      </w:pPr>
    </w:p>
    <w:p>
      <w:pPr>
        <w:ind w:left="7" w:right="260" w:firstLine="439"/>
        <w:spacing w:after="0" w:line="283" w:lineRule="auto"/>
        <w:rPr>
          <w:sz w:val="20"/>
          <w:szCs w:val="20"/>
          <w:color w:val="auto"/>
        </w:rPr>
      </w:pPr>
      <w:r>
        <w:rPr>
          <w:rFonts w:ascii="Arial" w:cs="Arial" w:eastAsia="Arial" w:hAnsi="Arial"/>
          <w:sz w:val="12"/>
          <w:szCs w:val="12"/>
          <w:color w:val="auto"/>
        </w:rPr>
        <w:t>The operations of MDD US Enterprises, LLC ("MDD Enterprises") (formerly USWM Enterprises, LLC) and its subsidiaries have been included in the Company's condensed consolidated statements of earnings for the period subsequent to the Closing Date. The following table summarizes the total revenues for MDD Enterprises, (dollars in thousands):</w:t>
      </w:r>
    </w:p>
    <w:p>
      <w:pPr>
        <w:spacing w:after="0" w:line="90"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gridSpan w:val="2"/>
          </w:tcPr>
          <w:p>
            <w:pPr>
              <w:jc w:val="center"/>
              <w:ind w:left="629"/>
              <w:spacing w:after="0"/>
              <w:rPr>
                <w:sz w:val="20"/>
                <w:szCs w:val="20"/>
                <w:color w:val="auto"/>
              </w:rPr>
            </w:pPr>
            <w:r>
              <w:rPr>
                <w:rFonts w:ascii="Arial" w:cs="Arial" w:eastAsia="Arial" w:hAnsi="Arial"/>
                <w:sz w:val="10"/>
                <w:szCs w:val="10"/>
                <w:b w:val="1"/>
                <w:bCs w:val="1"/>
                <w:color w:val="auto"/>
                <w:w w:val="87"/>
              </w:rPr>
              <w:t>Three Months ended</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gridSpan w:val="2"/>
          </w:tcPr>
          <w:p>
            <w:pPr>
              <w:jc w:val="center"/>
              <w:ind w:left="629"/>
              <w:spacing w:after="0"/>
              <w:rPr>
                <w:sz w:val="20"/>
                <w:szCs w:val="20"/>
                <w:color w:val="auto"/>
              </w:rPr>
            </w:pPr>
            <w:r>
              <w:rPr>
                <w:rFonts w:ascii="Arial" w:cs="Arial" w:eastAsia="Arial" w:hAnsi="Arial"/>
                <w:sz w:val="10"/>
                <w:szCs w:val="10"/>
                <w:b w:val="1"/>
                <w:bCs w:val="1"/>
                <w:color w:val="auto"/>
                <w:w w:val="86"/>
              </w:rPr>
              <w:t>Nine Months ended</w:t>
            </w:r>
          </w:p>
        </w:tc>
        <w:tc>
          <w:tcPr>
            <w:tcW w:w="1080" w:type="dxa"/>
            <w:vAlign w:val="bottom"/>
          </w:tcPr>
          <w:p>
            <w:pPr>
              <w:spacing w:after="0"/>
              <w:rPr>
                <w:sz w:val="10"/>
                <w:szCs w:val="10"/>
                <w:color w:val="auto"/>
              </w:rPr>
            </w:pPr>
          </w:p>
        </w:tc>
      </w:tr>
      <w:tr>
        <w:trPr>
          <w:trHeight w:val="127"/>
        </w:trPr>
        <w:tc>
          <w:tcPr>
            <w:tcW w:w="46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2"/>
          </w:tcPr>
          <w:p>
            <w:pPr>
              <w:jc w:val="center"/>
              <w:ind w:left="649"/>
              <w:spacing w:after="0"/>
              <w:rPr>
                <w:sz w:val="20"/>
                <w:szCs w:val="20"/>
                <w:color w:val="auto"/>
              </w:rPr>
            </w:pPr>
            <w:r>
              <w:rPr>
                <w:rFonts w:ascii="Arial" w:cs="Arial" w:eastAsia="Arial" w:hAnsi="Arial"/>
                <w:sz w:val="10"/>
                <w:szCs w:val="10"/>
                <w:b w:val="1"/>
                <w:bCs w:val="1"/>
                <w:color w:val="auto"/>
                <w:w w:val="87"/>
              </w:rPr>
              <w:t>September 30,</w:t>
            </w: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2"/>
          </w:tcPr>
          <w:p>
            <w:pPr>
              <w:jc w:val="center"/>
              <w:ind w:left="629"/>
              <w:spacing w:after="0"/>
              <w:rPr>
                <w:sz w:val="20"/>
                <w:szCs w:val="20"/>
                <w:color w:val="auto"/>
              </w:rPr>
            </w:pPr>
            <w:r>
              <w:rPr>
                <w:rFonts w:ascii="Arial" w:cs="Arial" w:eastAsia="Arial" w:hAnsi="Arial"/>
                <w:sz w:val="10"/>
                <w:szCs w:val="10"/>
                <w:b w:val="1"/>
                <w:bCs w:val="1"/>
                <w:color w:val="auto"/>
                <w:w w:val="87"/>
              </w:rPr>
              <w:t>September 30,</w:t>
            </w:r>
          </w:p>
        </w:tc>
        <w:tc>
          <w:tcPr>
            <w:tcW w:w="1080" w:type="dxa"/>
            <w:vAlign w:val="bottom"/>
            <w:tcBorders>
              <w:bottom w:val="single" w:sz="8" w:color="auto"/>
            </w:tcBorders>
          </w:tcPr>
          <w:p>
            <w:pPr>
              <w:spacing w:after="0"/>
              <w:rPr>
                <w:sz w:val="11"/>
                <w:szCs w:val="11"/>
                <w:color w:val="auto"/>
              </w:rPr>
            </w:pPr>
          </w:p>
        </w:tc>
      </w:tr>
      <w:tr>
        <w:trPr>
          <w:trHeight w:val="117"/>
        </w:trPr>
        <w:tc>
          <w:tcPr>
            <w:tcW w:w="46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689"/>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45"/>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689"/>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665"/>
              <w:spacing w:after="0"/>
              <w:rPr>
                <w:sz w:val="20"/>
                <w:szCs w:val="20"/>
                <w:color w:val="auto"/>
              </w:rPr>
            </w:pPr>
            <w:r>
              <w:rPr>
                <w:rFonts w:ascii="Arial" w:cs="Arial" w:eastAsia="Arial" w:hAnsi="Arial"/>
                <w:sz w:val="10"/>
                <w:szCs w:val="10"/>
                <w:b w:val="1"/>
                <w:bCs w:val="1"/>
                <w:color w:val="auto"/>
              </w:rPr>
              <w:t>2020</w:t>
            </w:r>
          </w:p>
        </w:tc>
      </w:tr>
      <w:tr>
        <w:trPr>
          <w:trHeight w:val="117"/>
        </w:trPr>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gridSpan w:val="2"/>
          </w:tcPr>
          <w:p>
            <w:pPr>
              <w:jc w:val="center"/>
              <w:ind w:left="629"/>
              <w:spacing w:after="0"/>
              <w:rPr>
                <w:sz w:val="20"/>
                <w:szCs w:val="20"/>
                <w:color w:val="auto"/>
              </w:rPr>
            </w:pPr>
            <w:r>
              <w:rPr>
                <w:rFonts w:ascii="Arial" w:cs="Arial" w:eastAsia="Arial" w:hAnsi="Arial"/>
                <w:sz w:val="10"/>
                <w:szCs w:val="10"/>
                <w:b w:val="1"/>
                <w:bCs w:val="1"/>
                <w:color w:val="auto"/>
                <w:w w:val="91"/>
              </w:rPr>
              <w:t>(unaudited)</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gridSpan w:val="2"/>
          </w:tcPr>
          <w:p>
            <w:pPr>
              <w:jc w:val="center"/>
              <w:ind w:left="629"/>
              <w:spacing w:after="0"/>
              <w:rPr>
                <w:sz w:val="20"/>
                <w:szCs w:val="20"/>
                <w:color w:val="auto"/>
              </w:rPr>
            </w:pPr>
            <w:r>
              <w:rPr>
                <w:rFonts w:ascii="Arial" w:cs="Arial" w:eastAsia="Arial" w:hAnsi="Arial"/>
                <w:sz w:val="10"/>
                <w:szCs w:val="10"/>
                <w:b w:val="1"/>
                <w:bCs w:val="1"/>
                <w:color w:val="auto"/>
                <w:w w:val="88"/>
              </w:rPr>
              <w:t>(unaudited)</w:t>
            </w:r>
          </w:p>
        </w:tc>
        <w:tc>
          <w:tcPr>
            <w:tcW w:w="1080" w:type="dxa"/>
            <w:vAlign w:val="bottom"/>
          </w:tcPr>
          <w:p>
            <w:pPr>
              <w:spacing w:after="0"/>
              <w:rPr>
                <w:sz w:val="10"/>
                <w:szCs w:val="10"/>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Net product sales</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2"/>
                <w:szCs w:val="12"/>
                <w:color w:val="auto"/>
              </w:rPr>
              <w:t>32,499</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40,863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2"/>
                <w:szCs w:val="12"/>
                <w:color w:val="auto"/>
              </w:rPr>
              <w:t>96,205</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51,493</w:t>
            </w:r>
          </w:p>
        </w:tc>
      </w:tr>
    </w:tbl>
    <w:p>
      <w:pPr>
        <w:spacing w:after="0" w:line="174"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Company is unable to provide the results of operations attributable to MDD US Enterprises, LLC and its subsidiaries as those operations were substantially integrated into our business.</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4. Disaggregated Revenues</w:t>
      </w:r>
    </w:p>
    <w:p>
      <w:pPr>
        <w:spacing w:after="0" w:line="141"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table summarizes the disaggregation of revenues by product or source, (dollars in thousands):</w:t>
      </w:r>
    </w:p>
    <w:p>
      <w:pPr>
        <w:spacing w:after="0" w:line="1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80" w:type="dxa"/>
            <w:vAlign w:val="bottom"/>
            <w:gridSpan w:val="4"/>
          </w:tcPr>
          <w:p>
            <w:pPr>
              <w:jc w:val="center"/>
              <w:ind w:left="622"/>
              <w:spacing w:after="0"/>
              <w:rPr>
                <w:sz w:val="20"/>
                <w:szCs w:val="20"/>
                <w:color w:val="auto"/>
              </w:rPr>
            </w:pPr>
            <w:r>
              <w:rPr>
                <w:rFonts w:ascii="Arial" w:cs="Arial" w:eastAsia="Arial" w:hAnsi="Arial"/>
                <w:sz w:val="10"/>
                <w:szCs w:val="10"/>
                <w:b w:val="1"/>
                <w:bCs w:val="1"/>
                <w:color w:val="auto"/>
                <w:w w:val="87"/>
              </w:rPr>
              <w:t>Three Months ended</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80" w:type="dxa"/>
            <w:vAlign w:val="bottom"/>
            <w:gridSpan w:val="4"/>
          </w:tcPr>
          <w:p>
            <w:pPr>
              <w:jc w:val="center"/>
              <w:ind w:left="642"/>
              <w:spacing w:after="0"/>
              <w:rPr>
                <w:sz w:val="20"/>
                <w:szCs w:val="20"/>
                <w:color w:val="auto"/>
              </w:rPr>
            </w:pPr>
            <w:r>
              <w:rPr>
                <w:rFonts w:ascii="Arial" w:cs="Arial" w:eastAsia="Arial" w:hAnsi="Arial"/>
                <w:sz w:val="10"/>
                <w:szCs w:val="10"/>
                <w:b w:val="1"/>
                <w:bCs w:val="1"/>
                <w:color w:val="auto"/>
                <w:w w:val="86"/>
              </w:rPr>
              <w:t>Nine Months ended</w:t>
            </w:r>
          </w:p>
        </w:tc>
        <w:tc>
          <w:tcPr>
            <w:tcW w:w="1040" w:type="dxa"/>
            <w:vAlign w:val="bottom"/>
          </w:tcPr>
          <w:p>
            <w:pPr>
              <w:spacing w:after="0"/>
              <w:rPr>
                <w:sz w:val="10"/>
                <w:szCs w:val="10"/>
                <w:color w:val="auto"/>
              </w:rPr>
            </w:pPr>
          </w:p>
        </w:tc>
      </w:tr>
      <w:tr>
        <w:trPr>
          <w:trHeight w:val="127"/>
        </w:trPr>
        <w:tc>
          <w:tcPr>
            <w:tcW w:w="36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ind w:left="82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ind w:left="82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17"/>
        </w:trPr>
        <w:tc>
          <w:tcPr>
            <w:tcW w:w="364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2020</w:t>
            </w:r>
          </w:p>
        </w:tc>
      </w:tr>
      <w:tr>
        <w:trPr>
          <w:trHeight w:val="117"/>
        </w:trPr>
        <w:tc>
          <w:tcPr>
            <w:tcW w:w="3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57"/>
        </w:trPr>
        <w:tc>
          <w:tcPr>
            <w:tcW w:w="36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product sales</w:t>
            </w: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5"/>
        </w:trPr>
        <w:tc>
          <w:tcPr>
            <w:tcW w:w="3640" w:type="dxa"/>
            <w:vAlign w:val="bottom"/>
          </w:tcPr>
          <w:p>
            <w:pPr>
              <w:ind w:left="520"/>
              <w:spacing w:after="0"/>
              <w:rPr>
                <w:sz w:val="20"/>
                <w:szCs w:val="20"/>
                <w:color w:val="auto"/>
              </w:rPr>
            </w:pPr>
            <w:r>
              <w:rPr>
                <w:rFonts w:ascii="Arial" w:cs="Arial" w:eastAsia="Arial" w:hAnsi="Arial"/>
                <w:sz w:val="12"/>
                <w:szCs w:val="12"/>
                <w:color w:val="auto"/>
              </w:rPr>
              <w:t>Trokendi XR</w:t>
            </w:r>
          </w:p>
        </w:tc>
        <w:tc>
          <w:tcPr>
            <w:tcW w:w="78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80,935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82,906</w:t>
            </w:r>
          </w:p>
        </w:tc>
        <w:tc>
          <w:tcPr>
            <w:tcW w:w="60" w:type="dxa"/>
            <w:vAlign w:val="bottom"/>
          </w:tcPr>
          <w:p>
            <w:pPr>
              <w:spacing w:after="0"/>
              <w:rPr>
                <w:sz w:val="13"/>
                <w:szCs w:val="13"/>
                <w:color w:val="auto"/>
              </w:rPr>
            </w:pP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231,531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241,131</w:t>
            </w:r>
          </w:p>
        </w:tc>
      </w:tr>
      <w:tr>
        <w:trPr>
          <w:trHeight w:val="156"/>
        </w:trPr>
        <w:tc>
          <w:tcPr>
            <w:tcW w:w="3640" w:type="dxa"/>
            <w:vAlign w:val="bottom"/>
            <w:shd w:val="clear" w:color="auto" w:fill="CCEEFF"/>
          </w:tcPr>
          <w:p>
            <w:pPr>
              <w:ind w:left="520"/>
              <w:spacing w:after="0"/>
              <w:rPr>
                <w:sz w:val="20"/>
                <w:szCs w:val="20"/>
                <w:color w:val="auto"/>
              </w:rPr>
            </w:pPr>
            <w:r>
              <w:rPr>
                <w:rFonts w:ascii="Arial" w:cs="Arial" w:eastAsia="Arial" w:hAnsi="Arial"/>
                <w:sz w:val="12"/>
                <w:szCs w:val="12"/>
                <w:color w:val="auto"/>
              </w:rPr>
              <w:t>Oxtellar XR</w:t>
            </w: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29,728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28,364</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82,120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75,983</w:t>
            </w:r>
          </w:p>
        </w:tc>
      </w:tr>
      <w:tr>
        <w:trPr>
          <w:trHeight w:val="155"/>
        </w:trPr>
        <w:tc>
          <w:tcPr>
            <w:tcW w:w="3640" w:type="dxa"/>
            <w:vAlign w:val="bottom"/>
          </w:tcPr>
          <w:p>
            <w:pPr>
              <w:ind w:left="520"/>
              <w:spacing w:after="0"/>
              <w:rPr>
                <w:sz w:val="20"/>
                <w:szCs w:val="20"/>
                <w:color w:val="auto"/>
              </w:rPr>
            </w:pPr>
            <w:r>
              <w:rPr>
                <w:rFonts w:ascii="Arial" w:cs="Arial" w:eastAsia="Arial" w:hAnsi="Arial"/>
                <w:sz w:val="12"/>
                <w:szCs w:val="12"/>
                <w:color w:val="auto"/>
              </w:rPr>
              <w:t>APOKYN</w:t>
            </w:r>
          </w:p>
        </w:tc>
        <w:tc>
          <w:tcPr>
            <w:tcW w:w="7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24,627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34,482</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73,338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43,082</w:t>
            </w:r>
          </w:p>
        </w:tc>
      </w:tr>
      <w:tr>
        <w:trPr>
          <w:trHeight w:val="156"/>
        </w:trPr>
        <w:tc>
          <w:tcPr>
            <w:tcW w:w="3640" w:type="dxa"/>
            <w:vAlign w:val="bottom"/>
            <w:shd w:val="clear" w:color="auto" w:fill="CCEEFF"/>
          </w:tcPr>
          <w:p>
            <w:pPr>
              <w:ind w:left="520"/>
              <w:spacing w:after="0" w:line="156" w:lineRule="exact"/>
              <w:rPr>
                <w:sz w:val="20"/>
                <w:szCs w:val="20"/>
                <w:color w:val="auto"/>
              </w:rPr>
            </w:pPr>
            <w:r>
              <w:rPr>
                <w:rFonts w:ascii="Arial" w:cs="Arial" w:eastAsia="Arial" w:hAnsi="Arial"/>
                <w:sz w:val="12"/>
                <w:szCs w:val="12"/>
                <w:color w:val="auto"/>
              </w:rPr>
              <w:t xml:space="preserve">MYOBLOC </w:t>
            </w:r>
            <w:r>
              <w:rPr>
                <w:rFonts w:ascii="Arial" w:cs="Arial" w:eastAsia="Arial" w:hAnsi="Arial"/>
                <w:sz w:val="15"/>
                <w:szCs w:val="15"/>
                <w:color w:val="auto"/>
                <w:vertAlign w:val="superscript"/>
              </w:rPr>
              <w:t>(1)</w:t>
            </w: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4,596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13,477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5,279</w:t>
            </w:r>
          </w:p>
        </w:tc>
      </w:tr>
      <w:tr>
        <w:trPr>
          <w:trHeight w:val="155"/>
        </w:trPr>
        <w:tc>
          <w:tcPr>
            <w:tcW w:w="3640" w:type="dxa"/>
            <w:vAlign w:val="bottom"/>
          </w:tcPr>
          <w:p>
            <w:pPr>
              <w:ind w:left="520"/>
              <w:spacing w:after="0"/>
              <w:rPr>
                <w:sz w:val="20"/>
                <w:szCs w:val="20"/>
                <w:color w:val="auto"/>
              </w:rPr>
            </w:pPr>
            <w:r>
              <w:rPr>
                <w:rFonts w:ascii="Arial" w:cs="Arial" w:eastAsia="Arial" w:hAnsi="Arial"/>
                <w:sz w:val="12"/>
                <w:szCs w:val="12"/>
                <w:color w:val="auto"/>
              </w:rPr>
              <w:t>XADAGO</w:t>
            </w:r>
          </w:p>
        </w:tc>
        <w:tc>
          <w:tcPr>
            <w:tcW w:w="7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3,276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2,331</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9,390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3,132</w:t>
            </w:r>
          </w:p>
        </w:tc>
      </w:tr>
      <w:tr>
        <w:trPr>
          <w:trHeight w:val="156"/>
        </w:trPr>
        <w:tc>
          <w:tcPr>
            <w:tcW w:w="3640" w:type="dxa"/>
            <w:vAlign w:val="bottom"/>
            <w:shd w:val="clear" w:color="auto" w:fill="CCEEFF"/>
          </w:tcPr>
          <w:p>
            <w:pPr>
              <w:ind w:left="520"/>
              <w:spacing w:after="0"/>
              <w:rPr>
                <w:sz w:val="20"/>
                <w:szCs w:val="20"/>
                <w:color w:val="auto"/>
              </w:rPr>
            </w:pPr>
            <w:r>
              <w:rPr>
                <w:rFonts w:ascii="Arial" w:cs="Arial" w:eastAsia="Arial" w:hAnsi="Arial"/>
                <w:sz w:val="12"/>
                <w:szCs w:val="12"/>
                <w:color w:val="auto"/>
              </w:rPr>
              <w:t>Qelbree</w:t>
            </w: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2,370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640" w:type="dxa"/>
            <w:vAlign w:val="bottom"/>
          </w:tcPr>
          <w:p>
            <w:pPr>
              <w:ind w:left="440"/>
              <w:spacing w:after="0" w:line="135" w:lineRule="exact"/>
              <w:rPr>
                <w:sz w:val="20"/>
                <w:szCs w:val="20"/>
                <w:color w:val="auto"/>
              </w:rPr>
            </w:pPr>
            <w:r>
              <w:rPr>
                <w:rFonts w:ascii="Arial" w:cs="Arial" w:eastAsia="Arial" w:hAnsi="Arial"/>
                <w:sz w:val="12"/>
                <w:szCs w:val="12"/>
                <w:color w:val="auto"/>
              </w:rPr>
              <w:t>Total net product sales</w:t>
            </w:r>
          </w:p>
        </w:tc>
        <w:tc>
          <w:tcPr>
            <w:tcW w:w="780" w:type="dxa"/>
            <w:vAlign w:val="bottom"/>
            <w:tcBorders>
              <w:top w:val="single" w:sz="8" w:color="auto"/>
            </w:tcBorders>
          </w:tcPr>
          <w:p>
            <w:pPr>
              <w:jc w:val="right"/>
              <w:ind w:right="219"/>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145,532</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152,133</w:t>
            </w:r>
          </w:p>
        </w:tc>
        <w:tc>
          <w:tcPr>
            <w:tcW w:w="60" w:type="dxa"/>
            <w:vAlign w:val="bottom"/>
          </w:tcPr>
          <w:p>
            <w:pPr>
              <w:spacing w:after="0"/>
              <w:rPr>
                <w:sz w:val="12"/>
                <w:szCs w:val="12"/>
                <w:color w:val="auto"/>
              </w:rPr>
            </w:pPr>
          </w:p>
        </w:tc>
        <w:tc>
          <w:tcPr>
            <w:tcW w:w="780" w:type="dxa"/>
            <w:vAlign w:val="bottom"/>
            <w:tcBorders>
              <w:top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412,541</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368,607</w:t>
            </w:r>
          </w:p>
        </w:tc>
      </w:tr>
      <w:tr>
        <w:trPr>
          <w:trHeight w:val="156"/>
        </w:trPr>
        <w:tc>
          <w:tcPr>
            <w:tcW w:w="36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Royalty revenues</w:t>
            </w:r>
          </w:p>
        </w:tc>
        <w:tc>
          <w:tcPr>
            <w:tcW w:w="7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2,932</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3,002</w:t>
            </w:r>
          </w:p>
        </w:tc>
        <w:tc>
          <w:tcPr>
            <w:tcW w:w="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8,184</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8,233</w:t>
            </w:r>
          </w:p>
        </w:tc>
      </w:tr>
      <w:tr>
        <w:trPr>
          <w:trHeight w:val="144"/>
        </w:trPr>
        <w:tc>
          <w:tcPr>
            <w:tcW w:w="3640" w:type="dxa"/>
            <w:vAlign w:val="bottom"/>
          </w:tcPr>
          <w:p>
            <w:pPr>
              <w:ind w:left="440"/>
              <w:spacing w:after="0" w:line="135" w:lineRule="exact"/>
              <w:rPr>
                <w:sz w:val="20"/>
                <w:szCs w:val="20"/>
                <w:color w:val="auto"/>
              </w:rPr>
            </w:pPr>
            <w:r>
              <w:rPr>
                <w:rFonts w:ascii="Arial" w:cs="Arial" w:eastAsia="Arial" w:hAnsi="Arial"/>
                <w:sz w:val="12"/>
                <w:szCs w:val="12"/>
                <w:color w:val="auto"/>
              </w:rPr>
              <w:t>Total revenues</w:t>
            </w: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148,464</w:t>
            </w: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155,135</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420,725</w:t>
            </w: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376,840</w:t>
            </w:r>
          </w:p>
        </w:tc>
      </w:tr>
      <w:tr>
        <w:trPr>
          <w:trHeight w:val="20"/>
        </w:trPr>
        <w:tc>
          <w:tcPr>
            <w:tcW w:w="3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w:t>
      </w:r>
    </w:p>
    <w:p>
      <w:pPr>
        <w:spacing w:after="0" w:line="14" w:lineRule="exact"/>
        <w:rPr>
          <w:sz w:val="20"/>
          <w:szCs w:val="20"/>
          <w:color w:val="auto"/>
        </w:rPr>
      </w:pPr>
    </w:p>
    <w:p>
      <w:pPr>
        <w:ind w:left="127" w:hanging="127"/>
        <w:spacing w:after="0"/>
        <w:tabs>
          <w:tab w:leader="none" w:pos="127" w:val="left"/>
        </w:tabs>
        <w:numPr>
          <w:ilvl w:val="0"/>
          <w:numId w:val="10"/>
        </w:numPr>
        <w:rPr>
          <w:rFonts w:ascii="Arial" w:cs="Arial" w:eastAsia="Arial" w:hAnsi="Arial"/>
          <w:sz w:val="15"/>
          <w:szCs w:val="15"/>
          <w:color w:val="auto"/>
          <w:vertAlign w:val="superscript"/>
        </w:rPr>
      </w:pPr>
      <w:r>
        <w:rPr>
          <w:rFonts w:ascii="Arial" w:cs="Arial" w:eastAsia="Arial" w:hAnsi="Arial"/>
          <w:sz w:val="10"/>
          <w:szCs w:val="10"/>
          <w:color w:val="auto"/>
        </w:rPr>
        <w:t>In April 2021, the Company notified the European Medicines Agency that it will cease the marketing of rimabotulinumtoxinB in European countries where it has been marketed as NeuroBloc.</w:t>
      </w:r>
    </w:p>
    <w:p>
      <w:pPr>
        <w:spacing w:after="0" w:line="115" w:lineRule="exact"/>
        <w:rPr>
          <w:sz w:val="20"/>
          <w:szCs w:val="20"/>
          <w:color w:val="auto"/>
        </w:rPr>
      </w:pPr>
    </w:p>
    <w:p>
      <w:pPr>
        <w:ind w:left="7" w:right="240" w:firstLine="439"/>
        <w:spacing w:after="0" w:line="283" w:lineRule="auto"/>
        <w:rPr>
          <w:sz w:val="20"/>
          <w:szCs w:val="20"/>
          <w:color w:val="auto"/>
        </w:rPr>
      </w:pPr>
      <w:r>
        <w:rPr>
          <w:rFonts w:ascii="Arial" w:cs="Arial" w:eastAsia="Arial" w:hAnsi="Arial"/>
          <w:sz w:val="12"/>
          <w:szCs w:val="12"/>
          <w:color w:val="auto"/>
        </w:rPr>
        <w:t>Trokendi XR accounted for 56% of the Company’s total net product sales for both the three and nine months ended September 30, 2021 and approximately 54% and 65% of the Company's total net product sales for the three and nine months ended September 30, 2020, respectively.</w:t>
      </w:r>
    </w:p>
    <w:p>
      <w:pPr>
        <w:spacing w:after="0" w:line="86" w:lineRule="exact"/>
        <w:rPr>
          <w:sz w:val="20"/>
          <w:szCs w:val="20"/>
          <w:color w:val="auto"/>
        </w:rPr>
      </w:pPr>
    </w:p>
    <w:p>
      <w:pPr>
        <w:ind w:left="7" w:right="240" w:firstLine="439"/>
        <w:spacing w:after="0" w:line="283" w:lineRule="auto"/>
        <w:rPr>
          <w:sz w:val="20"/>
          <w:szCs w:val="20"/>
          <w:color w:val="auto"/>
        </w:rPr>
      </w:pPr>
      <w:r>
        <w:rPr>
          <w:rFonts w:ascii="Arial" w:cs="Arial" w:eastAsia="Arial" w:hAnsi="Arial"/>
          <w:sz w:val="12"/>
          <w:szCs w:val="12"/>
          <w:color w:val="auto"/>
        </w:rPr>
        <w:t>The Company's three major customers, AmerisourceBergen Drug Corporation, Cardinal Health, Inc. and McKesson Corporation, individually accounted for more than 25% of our total net product sales and collectively accounted for more than 85% of our total net product sales in both 2021 and 2020.</w:t>
      </w: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13" w:name="page14"/>
    <w:bookmarkEnd w:id="1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439"/>
        <w:spacing w:after="0" w:line="283" w:lineRule="auto"/>
        <w:rPr>
          <w:sz w:val="20"/>
          <w:szCs w:val="20"/>
          <w:color w:val="auto"/>
        </w:rPr>
      </w:pPr>
      <w:r>
        <w:rPr>
          <w:rFonts w:ascii="Arial" w:cs="Arial" w:eastAsia="Arial" w:hAnsi="Arial"/>
          <w:sz w:val="12"/>
          <w:szCs w:val="12"/>
          <w:color w:val="auto"/>
        </w:rPr>
        <w:t xml:space="preserve">The Company recognized noncash royalty revenue of $2.4 million and $6.8 million, for the three and nine months ended September 30, 2021, respectively. The Company recognized noncash royalty revenue of $2.4 million and $6.3 million, for the three and nine months ended September 30, 2020, respectively. Refer to Note 15,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w:t>
      </w:r>
      <w:r>
        <w:rPr>
          <w:rFonts w:ascii="Arial" w:cs="Arial" w:eastAsia="Arial" w:hAnsi="Arial"/>
          <w:sz w:val="12"/>
          <w:szCs w:val="12"/>
          <w:color w:val="auto"/>
        </w:rPr>
        <w:t>.</w:t>
      </w:r>
      <w:r>
        <w:rPr>
          <w:rFonts w:ascii="Arial" w:cs="Arial" w:eastAsia="Arial" w:hAnsi="Arial"/>
          <w:sz w:val="12"/>
          <w:szCs w:val="12"/>
          <w:b w:val="1"/>
          <w:bCs w:val="1"/>
          <w:color w:val="auto"/>
        </w:rPr>
        <w:t xml:space="preserve">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Marketable Securities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Unrestricted available-for-sale marketable securities held by the Company are as follows, (dollars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September 30,</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jc w:val="right"/>
              <w:ind w:right="423"/>
              <w:spacing w:after="0"/>
              <w:rPr>
                <w:sz w:val="20"/>
                <w:szCs w:val="20"/>
                <w:color w:val="auto"/>
              </w:rPr>
            </w:pPr>
            <w:r>
              <w:rPr>
                <w:rFonts w:ascii="Arial" w:cs="Arial" w:eastAsia="Arial" w:hAnsi="Arial"/>
                <w:sz w:val="10"/>
                <w:szCs w:val="10"/>
                <w:b w:val="1"/>
                <w:bCs w:val="1"/>
                <w:color w:val="auto"/>
              </w:rPr>
              <w:t>December 31,</w:t>
            </w:r>
          </w:p>
        </w:tc>
      </w:tr>
      <w:tr>
        <w:trPr>
          <w:trHeight w:val="127"/>
        </w:trPr>
        <w:tc>
          <w:tcPr>
            <w:tcW w:w="72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386"/>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843"/>
              <w:spacing w:after="0"/>
              <w:rPr>
                <w:sz w:val="20"/>
                <w:szCs w:val="20"/>
                <w:color w:val="auto"/>
              </w:rPr>
            </w:pPr>
            <w:r>
              <w:rPr>
                <w:rFonts w:ascii="Arial" w:cs="Arial" w:eastAsia="Arial" w:hAnsi="Arial"/>
                <w:sz w:val="10"/>
                <w:szCs w:val="10"/>
                <w:b w:val="1"/>
                <w:bCs w:val="1"/>
                <w:color w:val="auto"/>
              </w:rPr>
              <w:t>2020</w:t>
            </w:r>
          </w:p>
        </w:tc>
      </w:tr>
      <w:tr>
        <w:trPr>
          <w:trHeight w:val="117"/>
        </w:trPr>
        <w:tc>
          <w:tcPr>
            <w:tcW w:w="7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6"/>
              <w:spacing w:after="0"/>
              <w:rPr>
                <w:sz w:val="20"/>
                <w:szCs w:val="20"/>
                <w:color w:val="auto"/>
              </w:rPr>
            </w:pPr>
            <w:r>
              <w:rPr>
                <w:rFonts w:ascii="Arial" w:cs="Arial" w:eastAsia="Arial" w:hAnsi="Arial"/>
                <w:sz w:val="10"/>
                <w:szCs w:val="10"/>
                <w:b w:val="1"/>
                <w:bCs w:val="1"/>
                <w:color w:val="auto"/>
              </w:rPr>
              <w:t>(unaudited)</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57"/>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Amortized cost</w:t>
            </w:r>
          </w:p>
        </w:tc>
        <w:tc>
          <w:tcPr>
            <w:tcW w:w="1160" w:type="dxa"/>
            <w:vAlign w:val="bottom"/>
            <w:shd w:val="clear" w:color="auto" w:fill="CCEEFF"/>
          </w:tcPr>
          <w:p>
            <w:pPr>
              <w:jc w:val="right"/>
              <w:ind w:right="946"/>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628,461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472,306</w:t>
            </w:r>
          </w:p>
        </w:tc>
      </w:tr>
      <w:tr>
        <w:trPr>
          <w:trHeight w:val="155"/>
        </w:trPr>
        <w:tc>
          <w:tcPr>
            <w:tcW w:w="7620" w:type="dxa"/>
            <w:vAlign w:val="bottom"/>
            <w:gridSpan w:val="2"/>
          </w:tcPr>
          <w:p>
            <w:pPr>
              <w:ind w:left="440"/>
              <w:spacing w:after="0"/>
              <w:rPr>
                <w:sz w:val="20"/>
                <w:szCs w:val="20"/>
                <w:color w:val="auto"/>
              </w:rPr>
            </w:pPr>
            <w:r>
              <w:rPr>
                <w:rFonts w:ascii="Arial" w:cs="Arial" w:eastAsia="Arial" w:hAnsi="Arial"/>
                <w:sz w:val="12"/>
                <w:szCs w:val="12"/>
                <w:color w:val="auto"/>
              </w:rPr>
              <w:t>Gross unrealized gains</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5,878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2"/>
                <w:szCs w:val="12"/>
                <w:color w:val="auto"/>
              </w:rPr>
              <w:t>11,987</w:t>
            </w:r>
          </w:p>
        </w:tc>
      </w:tr>
      <w:tr>
        <w:trPr>
          <w:trHeight w:val="15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Gross unrealized losses</w:t>
            </w:r>
          </w:p>
        </w:tc>
        <w:tc>
          <w:tcPr>
            <w:tcW w:w="1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7260" w:type="dxa"/>
            <w:vAlign w:val="bottom"/>
          </w:tcPr>
          <w:p>
            <w:pPr>
              <w:ind w:left="440"/>
              <w:spacing w:after="0" w:line="135" w:lineRule="exact"/>
              <w:rPr>
                <w:sz w:val="20"/>
                <w:szCs w:val="20"/>
                <w:color w:val="auto"/>
              </w:rPr>
            </w:pPr>
            <w:r>
              <w:rPr>
                <w:rFonts w:ascii="Arial" w:cs="Arial" w:eastAsia="Arial" w:hAnsi="Arial"/>
                <w:sz w:val="12"/>
                <w:szCs w:val="12"/>
                <w:color w:val="auto"/>
              </w:rPr>
              <w:t>Total fair value</w:t>
            </w: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946"/>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7"/>
              </w:rPr>
              <w:t>634,050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484,252</w:t>
            </w:r>
          </w:p>
        </w:tc>
      </w:tr>
      <w:tr>
        <w:trPr>
          <w:trHeight w:val="20"/>
        </w:trPr>
        <w:tc>
          <w:tcPr>
            <w:tcW w:w="7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06"/>
        </w:trPr>
        <w:tc>
          <w:tcPr>
            <w:tcW w:w="7620" w:type="dxa"/>
            <w:vAlign w:val="bottom"/>
            <w:gridSpan w:val="2"/>
          </w:tcPr>
          <w:p>
            <w:pPr>
              <w:ind w:left="440"/>
              <w:spacing w:after="0"/>
              <w:rPr>
                <w:sz w:val="20"/>
                <w:szCs w:val="20"/>
                <w:color w:val="auto"/>
              </w:rPr>
            </w:pPr>
            <w:r>
              <w:rPr>
                <w:rFonts w:ascii="Arial" w:cs="Arial" w:eastAsia="Arial" w:hAnsi="Arial"/>
                <w:sz w:val="12"/>
                <w:szCs w:val="12"/>
                <w:color w:val="auto"/>
                <w:w w:val="93"/>
              </w:rPr>
              <w:t>The contractual maturities of the unrestricted available-for-sale marketable securities held by the Company are as follows, (dollars in thousands):</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0"/>
        </w:trPr>
        <w:tc>
          <w:tcPr>
            <w:tcW w:w="7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80" w:type="dxa"/>
            <w:vAlign w:val="bottom"/>
          </w:tcPr>
          <w:p>
            <w:pPr>
              <w:jc w:val="right"/>
              <w:ind w:right="423"/>
              <w:spacing w:after="0" w:line="111" w:lineRule="exact"/>
              <w:rPr>
                <w:sz w:val="20"/>
                <w:szCs w:val="20"/>
                <w:color w:val="auto"/>
              </w:rPr>
            </w:pPr>
            <w:r>
              <w:rPr>
                <w:rFonts w:ascii="Arial" w:cs="Arial" w:eastAsia="Arial" w:hAnsi="Arial"/>
                <w:sz w:val="10"/>
                <w:szCs w:val="10"/>
                <w:b w:val="1"/>
                <w:bCs w:val="1"/>
                <w:color w:val="auto"/>
              </w:rPr>
              <w:t>September 30,</w:t>
            </w:r>
          </w:p>
        </w:tc>
      </w:tr>
      <w:tr>
        <w:trPr>
          <w:trHeight w:val="127"/>
        </w:trPr>
        <w:tc>
          <w:tcPr>
            <w:tcW w:w="7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843"/>
              <w:spacing w:after="0"/>
              <w:rPr>
                <w:sz w:val="20"/>
                <w:szCs w:val="20"/>
                <w:color w:val="auto"/>
              </w:rPr>
            </w:pPr>
            <w:r>
              <w:rPr>
                <w:rFonts w:ascii="Arial" w:cs="Arial" w:eastAsia="Arial" w:hAnsi="Arial"/>
                <w:sz w:val="10"/>
                <w:szCs w:val="10"/>
                <w:b w:val="1"/>
                <w:bCs w:val="1"/>
                <w:color w:val="auto"/>
              </w:rPr>
              <w:t>2021</w:t>
            </w:r>
          </w:p>
        </w:tc>
      </w:tr>
      <w:tr>
        <w:trPr>
          <w:trHeight w:val="117"/>
        </w:trPr>
        <w:tc>
          <w:tcPr>
            <w:tcW w:w="7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jc w:val="right"/>
              <w:ind w:right="483"/>
              <w:spacing w:after="0"/>
              <w:rPr>
                <w:sz w:val="20"/>
                <w:szCs w:val="20"/>
                <w:color w:val="auto"/>
              </w:rPr>
            </w:pPr>
            <w:r>
              <w:rPr>
                <w:rFonts w:ascii="Arial" w:cs="Arial" w:eastAsia="Arial" w:hAnsi="Arial"/>
                <w:sz w:val="10"/>
                <w:szCs w:val="10"/>
                <w:b w:val="1"/>
                <w:bCs w:val="1"/>
                <w:color w:val="auto"/>
              </w:rPr>
              <w:t>(unaudited)</w:t>
            </w:r>
          </w:p>
        </w:tc>
      </w:tr>
      <w:tr>
        <w:trPr>
          <w:trHeight w:val="157"/>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Less than 1 year</w:t>
            </w:r>
          </w:p>
        </w:tc>
        <w:tc>
          <w:tcPr>
            <w:tcW w:w="1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228,571</w:t>
            </w:r>
          </w:p>
        </w:tc>
      </w:tr>
      <w:tr>
        <w:trPr>
          <w:trHeight w:val="155"/>
        </w:trPr>
        <w:tc>
          <w:tcPr>
            <w:tcW w:w="7620" w:type="dxa"/>
            <w:vAlign w:val="bottom"/>
            <w:gridSpan w:val="2"/>
          </w:tcPr>
          <w:p>
            <w:pPr>
              <w:ind w:left="440"/>
              <w:spacing w:after="0"/>
              <w:rPr>
                <w:sz w:val="20"/>
                <w:szCs w:val="20"/>
                <w:color w:val="auto"/>
              </w:rPr>
            </w:pPr>
            <w:r>
              <w:rPr>
                <w:rFonts w:ascii="Arial" w:cs="Arial" w:eastAsia="Arial" w:hAnsi="Arial"/>
                <w:sz w:val="12"/>
                <w:szCs w:val="12"/>
                <w:color w:val="auto"/>
              </w:rPr>
              <w:t>1 year to 2 years</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2"/>
                <w:szCs w:val="12"/>
                <w:color w:val="auto"/>
              </w:rPr>
              <w:t>220,770</w:t>
            </w:r>
          </w:p>
        </w:tc>
      </w:tr>
      <w:tr>
        <w:trPr>
          <w:trHeight w:val="15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 years to 3 years</w:t>
            </w:r>
          </w:p>
        </w:tc>
        <w:tc>
          <w:tcPr>
            <w:tcW w:w="1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184,709</w:t>
            </w:r>
          </w:p>
        </w:tc>
      </w:tr>
      <w:tr>
        <w:trPr>
          <w:trHeight w:val="155"/>
        </w:trPr>
        <w:tc>
          <w:tcPr>
            <w:tcW w:w="7620" w:type="dxa"/>
            <w:vAlign w:val="bottom"/>
            <w:gridSpan w:val="2"/>
          </w:tcPr>
          <w:p>
            <w:pPr>
              <w:ind w:left="440"/>
              <w:spacing w:after="0"/>
              <w:rPr>
                <w:sz w:val="20"/>
                <w:szCs w:val="20"/>
                <w:color w:val="auto"/>
              </w:rPr>
            </w:pPr>
            <w:r>
              <w:rPr>
                <w:rFonts w:ascii="Arial" w:cs="Arial" w:eastAsia="Arial" w:hAnsi="Arial"/>
                <w:sz w:val="12"/>
                <w:szCs w:val="12"/>
                <w:color w:val="auto"/>
              </w:rPr>
              <w:t>3 years to 4 years</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5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Greater than 4 years</w:t>
            </w:r>
          </w:p>
        </w:tc>
        <w:tc>
          <w:tcPr>
            <w:tcW w:w="1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r>
      <w:tr>
        <w:trPr>
          <w:trHeight w:val="144"/>
        </w:trPr>
        <w:tc>
          <w:tcPr>
            <w:tcW w:w="762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Total</w:t>
            </w: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634,050</w:t>
            </w:r>
          </w:p>
        </w:tc>
      </w:tr>
      <w:tr>
        <w:trPr>
          <w:trHeight w:val="20"/>
        </w:trPr>
        <w:tc>
          <w:tcPr>
            <w:tcW w:w="7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As of September 30, 2021, there was no impairment due to credit loss on any available-for-sale marketable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in Navitor</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Development Agreement</w:t>
      </w:r>
    </w:p>
    <w:p>
      <w:pPr>
        <w:spacing w:after="0" w:line="127" w:lineRule="exact"/>
        <w:rPr>
          <w:sz w:val="20"/>
          <w:szCs w:val="20"/>
          <w:color w:val="auto"/>
        </w:rPr>
      </w:pPr>
    </w:p>
    <w:p>
      <w:pPr>
        <w:ind w:right="40" w:firstLine="439"/>
        <w:spacing w:after="0" w:line="260" w:lineRule="auto"/>
        <w:rPr>
          <w:sz w:val="20"/>
          <w:szCs w:val="20"/>
          <w:color w:val="auto"/>
        </w:rPr>
      </w:pPr>
      <w:r>
        <w:rPr>
          <w:rFonts w:ascii="Arial" w:cs="Arial" w:eastAsia="Arial" w:hAnsi="Arial"/>
          <w:sz w:val="12"/>
          <w:szCs w:val="12"/>
          <w:color w:val="auto"/>
        </w:rPr>
        <w:t xml:space="preserve">In April 2020, the Company entered into the Development Agreement with Navitor Inc. The Company can terminate the Development Agreement upon 30 days’ notice. Under the terms of the Development Agreement, the Company and Navitor Inc. will jointly conduct a Phase II clinical program for NV-5138 (SPN-820) for TRD. The Company will bear all of the Phase I and Phase II development costs incurred by either party, up to a maximum of $50 million. In addition, the Company will incur certain other research and development support costs. There are certain additional payment amounts which could be incurred by the Company. These costs are contingent upon Navitor Inc. achieving defined development milestones. The Company has an option to acquire or license NV-5138 (SPN-820), for which additional payments would be required. In the second quarter of 2020, the Company paid Navitor Inc. a one time, nonrefundable, and non-creditable fee of $10 million for this option to acquire or license NV-5138 (SPN-820) which was expensed and recorded in </w:t>
      </w:r>
      <w:r>
        <w:rPr>
          <w:rFonts w:ascii="Arial" w:cs="Arial" w:eastAsia="Arial" w:hAnsi="Arial"/>
          <w:sz w:val="12"/>
          <w:szCs w:val="12"/>
          <w:i w:val="1"/>
          <w:iCs w:val="1"/>
          <w:color w:val="auto"/>
        </w:rPr>
        <w:t>Research and development expense</w:t>
      </w:r>
      <w:r>
        <w:rPr>
          <w:rFonts w:ascii="Arial" w:cs="Arial" w:eastAsia="Arial" w:hAnsi="Arial"/>
          <w:sz w:val="12"/>
          <w:szCs w:val="12"/>
          <w:color w:val="auto"/>
        </w:rPr>
        <w:t xml:space="preserve"> in the condensed consolidated statements of earnings.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investment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In addition to entering into the Development Agreement in April 2020, the Company acquired Series D Preferred Shares of Navitor Inc. for $15 million, representing an approximately 13% ownership position in Navitor</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Inc.</w:t>
      </w:r>
    </w:p>
    <w:p>
      <w:pPr>
        <w:spacing w:after="0" w:line="119" w:lineRule="exact"/>
        <w:rPr>
          <w:sz w:val="20"/>
          <w:szCs w:val="20"/>
          <w:color w:val="auto"/>
        </w:rPr>
      </w:pPr>
    </w:p>
    <w:p>
      <w:pPr>
        <w:ind w:right="40" w:firstLine="439"/>
        <w:spacing w:after="0" w:line="264" w:lineRule="auto"/>
        <w:rPr>
          <w:sz w:val="20"/>
          <w:szCs w:val="20"/>
          <w:color w:val="auto"/>
        </w:rPr>
      </w:pPr>
      <w:r>
        <w:rPr>
          <w:rFonts w:ascii="Arial" w:cs="Arial" w:eastAsia="Arial" w:hAnsi="Arial"/>
          <w:sz w:val="12"/>
          <w:szCs w:val="12"/>
          <w:color w:val="auto"/>
        </w:rPr>
        <w:t>In March 2021, Navitor Inc. underwent a legal restructuring. In the restructuring, Navitor Inc. became a wholly owned subsidiary of a newly formed limited liability company, Navitor LLC, and the outstanding shares of stock in Navitor Inc. were exchanged for units of membership interest in Navitor LLC having equivalent rights and preferences (Navitor Restructuring). As part of the Navitor Restructuring, the Series D Preferred Shares previously held by the Company were exchanged for Series D Preferred Units in Navitor LLC. In addition, certain assets that did not relate to NV-5138 (SPN-820) were transferred from Navitor Inc. to a newly formed entity that became a separate, wholly owned subsidiary of Navitor LLC.</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 w:name="page15"/>
    <w:bookmarkEnd w:id="14"/>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right="120" w:firstLine="439"/>
        <w:spacing w:after="0" w:line="283" w:lineRule="auto"/>
        <w:rPr>
          <w:sz w:val="20"/>
          <w:szCs w:val="20"/>
          <w:color w:val="auto"/>
        </w:rPr>
      </w:pPr>
      <w:r>
        <w:rPr>
          <w:rFonts w:ascii="Arial" w:cs="Arial" w:eastAsia="Arial" w:hAnsi="Arial"/>
          <w:sz w:val="12"/>
          <w:szCs w:val="12"/>
          <w:color w:val="auto"/>
        </w:rPr>
        <w:t>The Company had determined that Navitor LLC is a VIE. The Company does not consolidate this VIE because the Company lacks the power to direct the activities that most significantly impact the investee’s economic performance.</w:t>
      </w:r>
    </w:p>
    <w:p>
      <w:pPr>
        <w:spacing w:after="0" w:line="96" w:lineRule="exact"/>
        <w:rPr>
          <w:sz w:val="20"/>
          <w:szCs w:val="20"/>
          <w:color w:val="auto"/>
        </w:rPr>
      </w:pPr>
    </w:p>
    <w:p>
      <w:pPr>
        <w:ind w:left="7" w:firstLine="439"/>
        <w:spacing w:after="0" w:line="285" w:lineRule="auto"/>
        <w:rPr>
          <w:sz w:val="20"/>
          <w:szCs w:val="20"/>
          <w:color w:val="auto"/>
        </w:rPr>
      </w:pPr>
      <w:r>
        <w:rPr>
          <w:rFonts w:ascii="Arial" w:cs="Arial" w:eastAsia="Arial" w:hAnsi="Arial"/>
          <w:sz w:val="11"/>
          <w:szCs w:val="11"/>
          <w:color w:val="auto"/>
        </w:rPr>
        <w:t xml:space="preserve">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for member equity units of Navitor LLC, the investment was accounted for under the equity method of accounting due to the Company’s ability to exert significant influence under the new Navitor LLC legal structure, but not control the financial and operating decisions of Navitor LLC. The majority of the assets and liabilities recorded in Navitor LLC’s financial statements represent working capital items and cash that are being used for research and development purposes and are significantly lower than the Company’s investment in Navitor LLC. This created a significant basis difference for the Company’s investment in the underlying net assets, requiring the Company to account for the investee as if it were a consolidated subsidiary in a manner consistent with the provisions of ASC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xml:space="preserve">, to apply the acquisition method of accounting. The Company has determined that substantially all of the fair value of the investment is attributable to a single IPR&amp;D asset. As a result, the investee is not considered a business as defined in ASC 805. In the first quarter of 2021, the $15 million investment, which was previously recorded in </w:t>
      </w:r>
      <w:r>
        <w:rPr>
          <w:rFonts w:ascii="Arial" w:cs="Arial" w:eastAsia="Arial" w:hAnsi="Arial"/>
          <w:sz w:val="11"/>
          <w:szCs w:val="11"/>
          <w:i w:val="1"/>
          <w:iCs w:val="1"/>
          <w:color w:val="auto"/>
        </w:rPr>
        <w:t>Other assets</w:t>
      </w:r>
      <w:r>
        <w:rPr>
          <w:rFonts w:ascii="Arial" w:cs="Arial" w:eastAsia="Arial" w:hAnsi="Arial"/>
          <w:sz w:val="11"/>
          <w:szCs w:val="11"/>
          <w:color w:val="auto"/>
        </w:rPr>
        <w:t xml:space="preserve"> in the condensed consolidated balance sheets, was expensed and recorded in </w:t>
      </w:r>
      <w:r>
        <w:rPr>
          <w:rFonts w:ascii="Arial" w:cs="Arial" w:eastAsia="Arial" w:hAnsi="Arial"/>
          <w:sz w:val="11"/>
          <w:szCs w:val="11"/>
          <w:i w:val="1"/>
          <w:iCs w:val="1"/>
          <w:color w:val="auto"/>
        </w:rPr>
        <w:t>Research and development expense</w:t>
      </w:r>
      <w:r>
        <w:rPr>
          <w:rFonts w:ascii="Arial" w:cs="Arial" w:eastAsia="Arial" w:hAnsi="Arial"/>
          <w:sz w:val="11"/>
          <w:szCs w:val="11"/>
          <w:color w:val="auto"/>
        </w:rPr>
        <w:t xml:space="preserve"> in the condensed consolidated statements of earnings</w:t>
      </w:r>
      <w:r>
        <w:rPr>
          <w:rFonts w:ascii="Arial" w:cs="Arial" w:eastAsia="Arial" w:hAnsi="Arial"/>
          <w:sz w:val="11"/>
          <w:szCs w:val="11"/>
          <w:i w:val="1"/>
          <w:iCs w:val="1"/>
          <w:color w:val="auto"/>
        </w:rPr>
        <w:t>.</w:t>
      </w:r>
    </w:p>
    <w:p>
      <w:pPr>
        <w:spacing w:after="0" w:line="89" w:lineRule="exact"/>
        <w:rPr>
          <w:sz w:val="20"/>
          <w:szCs w:val="20"/>
          <w:color w:val="auto"/>
        </w:rPr>
      </w:pPr>
    </w:p>
    <w:p>
      <w:pPr>
        <w:ind w:left="7" w:right="380" w:firstLine="439"/>
        <w:spacing w:after="0" w:line="283" w:lineRule="auto"/>
        <w:rPr>
          <w:sz w:val="20"/>
          <w:szCs w:val="20"/>
          <w:color w:val="auto"/>
        </w:rPr>
      </w:pPr>
      <w:r>
        <w:rPr>
          <w:rFonts w:ascii="Arial" w:cs="Arial" w:eastAsia="Arial" w:hAnsi="Arial"/>
          <w:sz w:val="12"/>
          <w:szCs w:val="12"/>
          <w:color w:val="auto"/>
        </w:rPr>
        <w:t>The maximum exposure to losses related to the investee is a maximum of approximately $50 million in expense for Phase I and Phase II development of NV-5138 (SPN-820), and the cost of other development and formulation activities provided by the Company.</w:t>
      </w:r>
    </w:p>
    <w:p>
      <w:pPr>
        <w:spacing w:after="0" w:line="86"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Company has provided no financing to the investee other than amounts required under the Development Agreement.</w:t>
      </w:r>
    </w:p>
    <w:p>
      <w:pPr>
        <w:spacing w:after="0" w:line="133" w:lineRule="exact"/>
        <w:rPr>
          <w:sz w:val="20"/>
          <w:szCs w:val="20"/>
          <w:color w:val="auto"/>
        </w:rPr>
      </w:pPr>
    </w:p>
    <w:p>
      <w:pPr>
        <w:ind w:left="207" w:hanging="207"/>
        <w:spacing w:after="0"/>
        <w:tabs>
          <w:tab w:leader="none" w:pos="207"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of Financial Instruments and Contingent Consideration</w:t>
      </w:r>
    </w:p>
    <w:p>
      <w:pPr>
        <w:spacing w:after="0" w:line="131"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fair value of an asset or liability represents the price that would be received to sell an asset or paid to transfer a liability in an orderly transaction between unrelated market participants.</w:t>
      </w:r>
    </w:p>
    <w:p>
      <w:pPr>
        <w:spacing w:after="0" w:line="127" w:lineRule="exact"/>
        <w:rPr>
          <w:sz w:val="20"/>
          <w:szCs w:val="20"/>
          <w:color w:val="auto"/>
        </w:rPr>
      </w:pPr>
    </w:p>
    <w:p>
      <w:pPr>
        <w:ind w:left="447"/>
        <w:spacing w:after="0"/>
        <w:rPr>
          <w:sz w:val="20"/>
          <w:szCs w:val="20"/>
          <w:color w:val="auto"/>
        </w:rPr>
      </w:pPr>
      <w:r>
        <w:rPr>
          <w:rFonts w:ascii="Arial" w:cs="Arial" w:eastAsia="Arial" w:hAnsi="Arial"/>
          <w:sz w:val="11"/>
          <w:szCs w:val="11"/>
          <w:color w:val="auto"/>
        </w:rPr>
        <w:t>The Company reports the fair value of assets and liabilities using a three level measurement hierarchy that prioritizes the inputs used to measure fair value. The fair value hierarchy consists of the following three levels:</w:t>
      </w:r>
    </w:p>
    <w:p>
      <w:pPr>
        <w:spacing w:after="0" w:line="148" w:lineRule="exact"/>
        <w:rPr>
          <w:sz w:val="20"/>
          <w:szCs w:val="20"/>
          <w:color w:val="auto"/>
        </w:rPr>
      </w:pPr>
    </w:p>
    <w:p>
      <w:pPr>
        <w:ind w:left="647" w:hanging="208"/>
        <w:spacing w:after="0"/>
        <w:tabs>
          <w:tab w:leader="none" w:pos="647" w:val="left"/>
        </w:tabs>
        <w:numPr>
          <w:ilvl w:val="0"/>
          <w:numId w:val="12"/>
        </w:numPr>
        <w:rPr>
          <w:rFonts w:ascii="Arial" w:cs="Arial" w:eastAsia="Arial" w:hAnsi="Arial"/>
          <w:sz w:val="12"/>
          <w:szCs w:val="12"/>
          <w:color w:val="auto"/>
        </w:rPr>
      </w:pPr>
      <w:r>
        <w:rPr>
          <w:rFonts w:ascii="Arial" w:cs="Arial" w:eastAsia="Arial" w:hAnsi="Arial"/>
          <w:sz w:val="12"/>
          <w:szCs w:val="12"/>
          <w:color w:val="auto"/>
        </w:rPr>
        <w:t>Level 1—Valuations based on unadjusted quoted prices in active markets that are accessible at measurement date for identical assets.</w:t>
      </w:r>
    </w:p>
    <w:p>
      <w:pPr>
        <w:spacing w:after="0" w:line="127" w:lineRule="exact"/>
        <w:rPr>
          <w:rFonts w:ascii="Arial" w:cs="Arial" w:eastAsia="Arial" w:hAnsi="Arial"/>
          <w:sz w:val="12"/>
          <w:szCs w:val="12"/>
          <w:color w:val="auto"/>
        </w:rPr>
      </w:pPr>
    </w:p>
    <w:p>
      <w:pPr>
        <w:ind w:left="667" w:right="20" w:hanging="228"/>
        <w:spacing w:after="0" w:line="283" w:lineRule="auto"/>
        <w:tabs>
          <w:tab w:leader="none" w:pos="664" w:val="left"/>
        </w:tabs>
        <w:numPr>
          <w:ilvl w:val="0"/>
          <w:numId w:val="12"/>
        </w:numPr>
        <w:rPr>
          <w:rFonts w:ascii="Arial" w:cs="Arial" w:eastAsia="Arial" w:hAnsi="Arial"/>
          <w:sz w:val="12"/>
          <w:szCs w:val="12"/>
          <w:color w:val="auto"/>
        </w:rPr>
      </w:pPr>
      <w:r>
        <w:rPr>
          <w:rFonts w:ascii="Arial" w:cs="Arial" w:eastAsia="Arial" w:hAnsi="Arial"/>
          <w:sz w:val="12"/>
          <w:szCs w:val="12"/>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86" w:lineRule="exact"/>
        <w:rPr>
          <w:rFonts w:ascii="Arial" w:cs="Arial" w:eastAsia="Arial" w:hAnsi="Arial"/>
          <w:sz w:val="12"/>
          <w:szCs w:val="12"/>
          <w:color w:val="auto"/>
        </w:rPr>
      </w:pPr>
    </w:p>
    <w:p>
      <w:pPr>
        <w:ind w:left="667" w:right="160" w:hanging="228"/>
        <w:spacing w:after="0" w:line="283" w:lineRule="auto"/>
        <w:tabs>
          <w:tab w:leader="none" w:pos="664" w:val="left"/>
        </w:tabs>
        <w:numPr>
          <w:ilvl w:val="0"/>
          <w:numId w:val="12"/>
        </w:numPr>
        <w:rPr>
          <w:rFonts w:ascii="Arial" w:cs="Arial" w:eastAsia="Arial" w:hAnsi="Arial"/>
          <w:sz w:val="12"/>
          <w:szCs w:val="12"/>
          <w:color w:val="auto"/>
        </w:rPr>
      </w:pPr>
      <w:r>
        <w:rPr>
          <w:rFonts w:ascii="Arial" w:cs="Arial" w:eastAsia="Arial" w:hAnsi="Arial"/>
          <w:sz w:val="12"/>
          <w:szCs w:val="12"/>
          <w:color w:val="auto"/>
        </w:rPr>
        <w:t>Level 3—Valuations using significant inputs that are unobservable in the market and inputs that reflect the Company’s own assumptions. These are based on the best information available, including the Company’s own data.</w:t>
      </w:r>
    </w:p>
    <w:p>
      <w:pPr>
        <w:spacing w:after="0" w:line="96" w:lineRule="exact"/>
        <w:rPr>
          <w:sz w:val="20"/>
          <w:szCs w:val="20"/>
          <w:color w:val="auto"/>
        </w:rPr>
      </w:pPr>
    </w:p>
    <w:p>
      <w:pPr>
        <w:ind w:left="227" w:firstLine="439"/>
        <w:spacing w:after="0" w:line="283" w:lineRule="auto"/>
        <w:rPr>
          <w:sz w:val="20"/>
          <w:szCs w:val="20"/>
          <w:color w:val="auto"/>
        </w:rPr>
      </w:pPr>
      <w:r>
        <w:rPr>
          <w:rFonts w:ascii="Arial" w:cs="Arial" w:eastAsia="Arial" w:hAnsi="Arial"/>
          <w:sz w:val="12"/>
          <w:szCs w:val="12"/>
          <w:color w:val="auto"/>
        </w:rPr>
        <w:t xml:space="preserve">The fair value of the restricted marketable securities which are classified as Level 2 financial assets are recorded in </w:t>
      </w:r>
      <w:r>
        <w:rPr>
          <w:rFonts w:ascii="Arial" w:cs="Arial" w:eastAsia="Arial" w:hAnsi="Arial"/>
          <w:sz w:val="12"/>
          <w:szCs w:val="12"/>
          <w:i w:val="1"/>
          <w:iCs w:val="1"/>
          <w:color w:val="auto"/>
        </w:rPr>
        <w:t>Other assets</w:t>
      </w:r>
      <w:r>
        <w:rPr>
          <w:rFonts w:ascii="Arial" w:cs="Arial" w:eastAsia="Arial" w:hAnsi="Arial"/>
          <w:sz w:val="12"/>
          <w:szCs w:val="12"/>
          <w:color w:val="auto"/>
        </w:rPr>
        <w:t xml:space="preserve"> on the condensed consolidated balance sheets. There were no Level 3 financial assets as of September 30, 2021 or December 31, 2020. There have been no transfers of assets or liabilities into or out of Level 3 of the fair value hierarchy.</w:t>
      </w:r>
    </w:p>
    <w:p>
      <w:pPr>
        <w:spacing w:after="0" w:line="370" w:lineRule="exact"/>
        <w:rPr>
          <w:sz w:val="20"/>
          <w:szCs w:val="20"/>
          <w:color w:val="auto"/>
        </w:rPr>
      </w:pPr>
    </w:p>
    <w:p>
      <w:pPr>
        <w:jc w:val="center"/>
        <w:ind w:right="-66"/>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27"/>
          </w:cols>
          <w:pgMar w:left="293" w:top="131" w:right="37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Financial Assets and Liabilities Recorded at Fair Value on a Recurring Basis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Company’s financial assets and liabilities that are required to be measured at fair value on a recurring basis are as follows (dollars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88"/>
              </w:rPr>
              <w:t>Fair Value Measurements at September 30, 2021 (unaudited)</w:t>
            </w: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320" w:type="dxa"/>
            <w:vAlign w:val="bottom"/>
          </w:tcPr>
          <w:p>
            <w:pPr>
              <w:spacing w:after="0"/>
              <w:rPr>
                <w:sz w:val="6"/>
                <w:szCs w:val="6"/>
                <w:color w:val="auto"/>
              </w:rPr>
            </w:pPr>
          </w:p>
        </w:tc>
        <w:tc>
          <w:tcPr>
            <w:tcW w:w="2020" w:type="dxa"/>
            <w:vAlign w:val="bottom"/>
            <w:gridSpan w:val="3"/>
          </w:tcPr>
          <w:p>
            <w:pPr>
              <w:ind w:left="620"/>
              <w:spacing w:after="0" w:line="80" w:lineRule="exact"/>
              <w:rPr>
                <w:sz w:val="20"/>
                <w:szCs w:val="20"/>
                <w:color w:val="auto"/>
              </w:rPr>
            </w:pPr>
            <w:r>
              <w:rPr>
                <w:rFonts w:ascii="Arial" w:cs="Arial" w:eastAsia="Arial" w:hAnsi="Arial"/>
                <w:sz w:val="9"/>
                <w:szCs w:val="9"/>
                <w:b w:val="1"/>
                <w:bCs w:val="1"/>
                <w:color w:val="auto"/>
              </w:rPr>
              <w:t>Total Fair Value at September</w:t>
            </w:r>
          </w:p>
        </w:tc>
        <w:tc>
          <w:tcPr>
            <w:tcW w:w="860" w:type="dxa"/>
            <w:vAlign w:val="bottom"/>
          </w:tcPr>
          <w:p>
            <w:pPr>
              <w:spacing w:after="0"/>
              <w:rPr>
                <w:sz w:val="6"/>
                <w:szCs w:val="6"/>
                <w:color w:val="auto"/>
              </w:rPr>
            </w:pPr>
          </w:p>
        </w:tc>
        <w:tc>
          <w:tcPr>
            <w:tcW w:w="1080" w:type="dxa"/>
            <w:vAlign w:val="bottom"/>
            <w:vMerge w:val="restart"/>
          </w:tcPr>
          <w:p>
            <w:pPr>
              <w:jc w:val="right"/>
              <w:ind w:right="480"/>
              <w:spacing w:after="0"/>
              <w:rPr>
                <w:sz w:val="20"/>
                <w:szCs w:val="20"/>
                <w:color w:val="auto"/>
              </w:rPr>
            </w:pPr>
            <w:r>
              <w:rPr>
                <w:rFonts w:ascii="Arial" w:cs="Arial" w:eastAsia="Arial" w:hAnsi="Arial"/>
                <w:sz w:val="10"/>
                <w:szCs w:val="10"/>
                <w:b w:val="1"/>
                <w:bCs w:val="1"/>
                <w:color w:val="auto"/>
              </w:rPr>
              <w:t>Level 1</w:t>
            </w: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80" w:type="dxa"/>
            <w:vAlign w:val="bottom"/>
            <w:gridSpan w:val="3"/>
            <w:vMerge w:val="restart"/>
          </w:tcPr>
          <w:p>
            <w:pPr>
              <w:jc w:val="center"/>
              <w:ind w:right="900"/>
              <w:spacing w:after="0"/>
              <w:rPr>
                <w:sz w:val="20"/>
                <w:szCs w:val="20"/>
                <w:color w:val="auto"/>
              </w:rPr>
            </w:pPr>
            <w:r>
              <w:rPr>
                <w:rFonts w:ascii="Arial" w:cs="Arial" w:eastAsia="Arial" w:hAnsi="Arial"/>
                <w:sz w:val="10"/>
                <w:szCs w:val="10"/>
                <w:b w:val="1"/>
                <w:bCs w:val="1"/>
                <w:color w:val="auto"/>
                <w:w w:val="88"/>
              </w:rPr>
              <w:t>Level 2</w:t>
            </w:r>
          </w:p>
        </w:tc>
        <w:tc>
          <w:tcPr>
            <w:tcW w:w="320" w:type="dxa"/>
            <w:vAlign w:val="bottom"/>
          </w:tcPr>
          <w:p>
            <w:pPr>
              <w:spacing w:after="0"/>
              <w:rPr>
                <w:sz w:val="6"/>
                <w:szCs w:val="6"/>
                <w:color w:val="auto"/>
              </w:rPr>
            </w:pPr>
          </w:p>
        </w:tc>
        <w:tc>
          <w:tcPr>
            <w:tcW w:w="1080" w:type="dxa"/>
            <w:vAlign w:val="bottom"/>
            <w:vMerge w:val="restart"/>
          </w:tcPr>
          <w:p>
            <w:pPr>
              <w:jc w:val="right"/>
              <w:ind w:right="480"/>
              <w:spacing w:after="0"/>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92"/>
        </w:trPr>
        <w:tc>
          <w:tcPr>
            <w:tcW w:w="3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jc w:val="right"/>
              <w:ind w:right="861"/>
              <w:spacing w:after="0" w:line="92" w:lineRule="exact"/>
              <w:rPr>
                <w:sz w:val="20"/>
                <w:szCs w:val="20"/>
                <w:color w:val="auto"/>
              </w:rPr>
            </w:pPr>
            <w:r>
              <w:rPr>
                <w:rFonts w:ascii="Arial" w:cs="Arial" w:eastAsia="Arial" w:hAnsi="Arial"/>
                <w:sz w:val="10"/>
                <w:szCs w:val="10"/>
                <w:b w:val="1"/>
                <w:bCs w:val="1"/>
                <w:color w:val="auto"/>
              </w:rPr>
              <w:t>30,</w:t>
            </w: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3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82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2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rPr>
              <w:t>Assets:</w:t>
            </w:r>
          </w:p>
        </w:tc>
        <w:tc>
          <w:tcPr>
            <w:tcW w:w="7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640"/>
              <w:spacing w:after="0"/>
              <w:rPr>
                <w:sz w:val="20"/>
                <w:szCs w:val="20"/>
                <w:color w:val="auto"/>
              </w:rPr>
            </w:pPr>
            <w:r>
              <w:rPr>
                <w:rFonts w:ascii="Arial" w:cs="Arial" w:eastAsia="Arial" w:hAnsi="Arial"/>
                <w:sz w:val="12"/>
                <w:szCs w:val="12"/>
                <w:color w:val="auto"/>
              </w:rPr>
              <w:t>Cash and cash equivalents</w:t>
            </w: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shd w:val="clear" w:color="auto" w:fill="CCEEFF"/>
          </w:tcPr>
          <w:p>
            <w:pPr>
              <w:ind w:left="780"/>
              <w:spacing w:after="0"/>
              <w:rPr>
                <w:sz w:val="20"/>
                <w:szCs w:val="20"/>
                <w:color w:val="auto"/>
              </w:rPr>
            </w:pPr>
            <w:r>
              <w:rPr>
                <w:rFonts w:ascii="Arial" w:cs="Arial" w:eastAsia="Arial" w:hAnsi="Arial"/>
                <w:sz w:val="12"/>
                <w:szCs w:val="12"/>
                <w:color w:val="auto"/>
              </w:rPr>
              <w:t>Cash</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193,947</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193,947</w:t>
            </w:r>
          </w:p>
        </w:tc>
        <w:tc>
          <w:tcPr>
            <w:tcW w:w="94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780"/>
              <w:spacing w:after="0"/>
              <w:rPr>
                <w:sz w:val="20"/>
                <w:szCs w:val="20"/>
                <w:color w:val="auto"/>
              </w:rPr>
            </w:pPr>
            <w:r>
              <w:rPr>
                <w:rFonts w:ascii="Arial" w:cs="Arial" w:eastAsia="Arial" w:hAnsi="Arial"/>
                <w:sz w:val="12"/>
                <w:szCs w:val="12"/>
                <w:color w:val="auto"/>
              </w:rPr>
              <w:t>Money market funds</w:t>
            </w:r>
          </w:p>
        </w:tc>
        <w:tc>
          <w:tcPr>
            <w:tcW w:w="74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21,334</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21,334</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gridSpan w:val="3"/>
          </w:tcPr>
          <w:p>
            <w:pPr>
              <w:jc w:val="right"/>
              <w:ind w:right="6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320" w:type="dxa"/>
            <w:vAlign w:val="bottom"/>
            <w:shd w:val="clear" w:color="auto" w:fill="CCEEFF"/>
          </w:tcPr>
          <w:p>
            <w:pPr>
              <w:ind w:left="640"/>
              <w:spacing w:after="0"/>
              <w:rPr>
                <w:sz w:val="20"/>
                <w:szCs w:val="20"/>
                <w:color w:val="auto"/>
              </w:rPr>
            </w:pPr>
            <w:r>
              <w:rPr>
                <w:rFonts w:ascii="Arial" w:cs="Arial" w:eastAsia="Arial" w:hAnsi="Arial"/>
                <w:sz w:val="12"/>
                <w:szCs w:val="12"/>
                <w:color w:val="auto"/>
              </w:rPr>
              <w:t>Marketable securities</w:t>
            </w: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780"/>
              <w:spacing w:after="0"/>
              <w:rPr>
                <w:sz w:val="20"/>
                <w:szCs w:val="20"/>
                <w:color w:val="auto"/>
              </w:rPr>
            </w:pPr>
            <w:r>
              <w:rPr>
                <w:rFonts w:ascii="Arial" w:cs="Arial" w:eastAsia="Arial" w:hAnsi="Arial"/>
                <w:sz w:val="12"/>
                <w:szCs w:val="12"/>
                <w:color w:val="auto"/>
              </w:rPr>
              <w:t>Corporate debt securities</w:t>
            </w:r>
          </w:p>
        </w:tc>
        <w:tc>
          <w:tcPr>
            <w:tcW w:w="74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211,857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252</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211,605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320" w:type="dxa"/>
            <w:vAlign w:val="bottom"/>
            <w:shd w:val="clear" w:color="auto" w:fill="CCEEFF"/>
          </w:tcPr>
          <w:p>
            <w:pPr>
              <w:ind w:left="780"/>
              <w:spacing w:after="0"/>
              <w:rPr>
                <w:sz w:val="20"/>
                <w:szCs w:val="20"/>
                <w:color w:val="auto"/>
              </w:rPr>
            </w:pPr>
            <w:r>
              <w:rPr>
                <w:rFonts w:ascii="Arial" w:cs="Arial" w:eastAsia="Arial" w:hAnsi="Arial"/>
                <w:sz w:val="12"/>
                <w:szCs w:val="12"/>
                <w:color w:val="auto"/>
              </w:rPr>
              <w:t>Municipal debt securities</w:t>
            </w: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16,714</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16,714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640"/>
              <w:spacing w:after="0"/>
              <w:rPr>
                <w:sz w:val="20"/>
                <w:szCs w:val="20"/>
                <w:color w:val="auto"/>
              </w:rPr>
            </w:pPr>
            <w:r>
              <w:rPr>
                <w:rFonts w:ascii="Arial" w:cs="Arial" w:eastAsia="Arial" w:hAnsi="Arial"/>
                <w:sz w:val="12"/>
                <w:szCs w:val="12"/>
                <w:color w:val="auto"/>
              </w:rPr>
              <w:t>Long term marketable securities</w:t>
            </w: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shd w:val="clear" w:color="auto" w:fill="CCEEFF"/>
          </w:tcPr>
          <w:p>
            <w:pPr>
              <w:ind w:left="780"/>
              <w:spacing w:after="0"/>
              <w:rPr>
                <w:sz w:val="20"/>
                <w:szCs w:val="20"/>
                <w:color w:val="auto"/>
              </w:rPr>
            </w:pPr>
            <w:r>
              <w:rPr>
                <w:rFonts w:ascii="Arial" w:cs="Arial" w:eastAsia="Arial" w:hAnsi="Arial"/>
                <w:sz w:val="12"/>
                <w:szCs w:val="12"/>
                <w:color w:val="auto"/>
              </w:rPr>
              <w:t>Corporate debt securities</w:t>
            </w: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405,479</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405,479</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640"/>
              <w:spacing w:after="0"/>
              <w:rPr>
                <w:sz w:val="20"/>
                <w:szCs w:val="20"/>
                <w:color w:val="auto"/>
              </w:rPr>
            </w:pPr>
            <w:r>
              <w:rPr>
                <w:rFonts w:ascii="Arial" w:cs="Arial" w:eastAsia="Arial" w:hAnsi="Arial"/>
                <w:sz w:val="12"/>
                <w:szCs w:val="12"/>
                <w:color w:val="auto"/>
              </w:rPr>
              <w:t>Other noncurrent assets</w:t>
            </w: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shd w:val="clear" w:color="auto" w:fill="CCEEFF"/>
          </w:tcPr>
          <w:p>
            <w:pPr>
              <w:ind w:left="780"/>
              <w:spacing w:after="0"/>
              <w:rPr>
                <w:sz w:val="20"/>
                <w:szCs w:val="20"/>
                <w:color w:val="auto"/>
              </w:rPr>
            </w:pPr>
            <w:r>
              <w:rPr>
                <w:rFonts w:ascii="Arial" w:cs="Arial" w:eastAsia="Arial" w:hAnsi="Arial"/>
                <w:sz w:val="12"/>
                <w:szCs w:val="12"/>
                <w:color w:val="auto"/>
              </w:rPr>
              <w:t>Marketable securities - restricted (SERP)</w:t>
            </w:r>
          </w:p>
        </w:tc>
        <w:tc>
          <w:tcPr>
            <w:tcW w:w="7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597</w:t>
            </w: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592</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320" w:type="dxa"/>
            <w:vAlign w:val="bottom"/>
          </w:tcPr>
          <w:p>
            <w:pPr>
              <w:ind w:left="560"/>
              <w:spacing w:after="0"/>
              <w:rPr>
                <w:sz w:val="20"/>
                <w:szCs w:val="20"/>
                <w:color w:val="auto"/>
              </w:rPr>
            </w:pPr>
            <w:r>
              <w:rPr>
                <w:rFonts w:ascii="Arial" w:cs="Arial" w:eastAsia="Arial" w:hAnsi="Arial"/>
                <w:sz w:val="12"/>
                <w:szCs w:val="12"/>
                <w:b w:val="1"/>
                <w:bCs w:val="1"/>
                <w:color w:val="auto"/>
              </w:rPr>
              <w:t>Total assets at fair value</w:t>
            </w:r>
          </w:p>
        </w:tc>
        <w:tc>
          <w:tcPr>
            <w:tcW w:w="7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849,928</w:t>
            </w:r>
          </w:p>
        </w:tc>
        <w:tc>
          <w:tcPr>
            <w:tcW w:w="80" w:type="dxa"/>
            <w:vAlign w:val="bottom"/>
          </w:tcPr>
          <w:p>
            <w:pPr>
              <w:spacing w:after="0"/>
              <w:rPr>
                <w:sz w:val="14"/>
                <w:szCs w:val="14"/>
                <w:color w:val="auto"/>
              </w:rPr>
            </w:pPr>
          </w:p>
        </w:tc>
        <w:tc>
          <w:tcPr>
            <w:tcW w:w="8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215,538</w:t>
            </w:r>
          </w:p>
        </w:tc>
        <w:tc>
          <w:tcPr>
            <w:tcW w:w="940" w:type="dxa"/>
            <w:vAlign w:val="bottom"/>
            <w:gridSpan w:val="2"/>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634,390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33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2"/>
                <w:szCs w:val="12"/>
                <w:b w:val="1"/>
                <w:bCs w:val="1"/>
                <w:color w:val="auto"/>
              </w:rPr>
              <w:t>Liabilities:</w:t>
            </w:r>
          </w:p>
        </w:tc>
        <w:tc>
          <w:tcPr>
            <w:tcW w:w="7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tcBorders>
              <w:bottom w:val="single" w:sz="8" w:color="CCEEFF"/>
            </w:tcBorders>
          </w:tcPr>
          <w:p>
            <w:pPr>
              <w:ind w:left="620"/>
              <w:spacing w:after="0"/>
              <w:rPr>
                <w:sz w:val="20"/>
                <w:szCs w:val="20"/>
                <w:color w:val="auto"/>
              </w:rPr>
            </w:pPr>
            <w:r>
              <w:rPr>
                <w:rFonts w:ascii="Arial" w:cs="Arial" w:eastAsia="Arial" w:hAnsi="Arial"/>
                <w:sz w:val="12"/>
                <w:szCs w:val="12"/>
                <w:color w:val="auto"/>
              </w:rPr>
              <w:t>Contingent consideration</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69,050</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69,050</w:t>
            </w:r>
          </w:p>
        </w:tc>
        <w:tc>
          <w:tcPr>
            <w:tcW w:w="0" w:type="dxa"/>
            <w:vAlign w:val="bottom"/>
          </w:tcPr>
          <w:p>
            <w:pPr>
              <w:spacing w:after="0"/>
              <w:rPr>
                <w:sz w:val="1"/>
                <w:szCs w:val="1"/>
                <w:color w:val="auto"/>
              </w:rPr>
            </w:pPr>
          </w:p>
        </w:tc>
      </w:tr>
      <w:tr>
        <w:trPr>
          <w:trHeight w:val="162"/>
        </w:trPr>
        <w:tc>
          <w:tcPr>
            <w:tcW w:w="3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2"/>
                <w:szCs w:val="12"/>
                <w:b w:val="1"/>
                <w:bCs w:val="1"/>
                <w:color w:val="auto"/>
              </w:rPr>
              <w:t>Total liabilities at fair value</w:t>
            </w:r>
          </w:p>
        </w:tc>
        <w:tc>
          <w:tcPr>
            <w:tcW w:w="7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69,050</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69,050</w:t>
            </w:r>
          </w:p>
        </w:tc>
        <w:tc>
          <w:tcPr>
            <w:tcW w:w="0" w:type="dxa"/>
            <w:vAlign w:val="bottom"/>
          </w:tcPr>
          <w:p>
            <w:pPr>
              <w:spacing w:after="0"/>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gridSpan w:val="6"/>
          </w:tcPr>
          <w:p>
            <w:pPr>
              <w:jc w:val="center"/>
              <w:ind w:left="100"/>
              <w:spacing w:after="0"/>
              <w:rPr>
                <w:sz w:val="20"/>
                <w:szCs w:val="20"/>
                <w:color w:val="auto"/>
              </w:rPr>
            </w:pPr>
            <w:r>
              <w:rPr>
                <w:rFonts w:ascii="Arial" w:cs="Arial" w:eastAsia="Arial" w:hAnsi="Arial"/>
                <w:sz w:val="10"/>
                <w:szCs w:val="10"/>
                <w:b w:val="1"/>
                <w:bCs w:val="1"/>
                <w:color w:val="auto"/>
                <w:w w:val="88"/>
              </w:rPr>
              <w:t>Fair Value Measurements at December 31, 2020</w:t>
            </w: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gridSpan w:val="2"/>
          </w:tcPr>
          <w:p>
            <w:pPr>
              <w:ind w:left="20"/>
              <w:spacing w:after="0" w:line="80" w:lineRule="exact"/>
              <w:rPr>
                <w:sz w:val="20"/>
                <w:szCs w:val="20"/>
                <w:color w:val="auto"/>
              </w:rPr>
            </w:pPr>
            <w:r>
              <w:rPr>
                <w:rFonts w:ascii="Arial" w:cs="Arial" w:eastAsia="Arial" w:hAnsi="Arial"/>
                <w:sz w:val="9"/>
                <w:szCs w:val="9"/>
                <w:b w:val="1"/>
                <w:bCs w:val="1"/>
                <w:color w:val="auto"/>
              </w:rPr>
              <w:t>Total Fair Value at December 31,</w:t>
            </w:r>
          </w:p>
        </w:tc>
        <w:tc>
          <w:tcPr>
            <w:tcW w:w="1060" w:type="dxa"/>
            <w:vAlign w:val="bottom"/>
            <w:vMerge w:val="restart"/>
          </w:tcPr>
          <w:p>
            <w:pPr>
              <w:jc w:val="right"/>
              <w:ind w:right="50"/>
              <w:spacing w:after="0"/>
              <w:rPr>
                <w:sz w:val="20"/>
                <w:szCs w:val="20"/>
                <w:color w:val="auto"/>
              </w:rPr>
            </w:pPr>
            <w:r>
              <w:rPr>
                <w:rFonts w:ascii="Arial" w:cs="Arial" w:eastAsia="Arial" w:hAnsi="Arial"/>
                <w:sz w:val="10"/>
                <w:szCs w:val="10"/>
                <w:b w:val="1"/>
                <w:bCs w:val="1"/>
                <w:color w:val="auto"/>
              </w:rPr>
              <w:t>Level 1</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gridSpan w:val="2"/>
            <w:vMerge w:val="restart"/>
          </w:tcPr>
          <w:p>
            <w:pPr>
              <w:jc w:val="center"/>
              <w:ind w:right="440"/>
              <w:spacing w:after="0"/>
              <w:rPr>
                <w:sz w:val="20"/>
                <w:szCs w:val="20"/>
                <w:color w:val="auto"/>
              </w:rPr>
            </w:pPr>
            <w:r>
              <w:rPr>
                <w:rFonts w:ascii="Arial" w:cs="Arial" w:eastAsia="Arial" w:hAnsi="Arial"/>
                <w:sz w:val="10"/>
                <w:szCs w:val="10"/>
                <w:b w:val="1"/>
                <w:bCs w:val="1"/>
                <w:color w:val="auto"/>
                <w:w w:val="88"/>
              </w:rPr>
              <w:t>Level 2</w:t>
            </w:r>
          </w:p>
        </w:tc>
        <w:tc>
          <w:tcPr>
            <w:tcW w:w="380" w:type="dxa"/>
            <w:vAlign w:val="bottom"/>
          </w:tcPr>
          <w:p>
            <w:pPr>
              <w:spacing w:after="0"/>
              <w:rPr>
                <w:sz w:val="6"/>
                <w:szCs w:val="6"/>
                <w:color w:val="auto"/>
              </w:rPr>
            </w:pPr>
          </w:p>
        </w:tc>
        <w:tc>
          <w:tcPr>
            <w:tcW w:w="1240" w:type="dxa"/>
            <w:vAlign w:val="bottom"/>
            <w:vMerge w:val="restart"/>
          </w:tcPr>
          <w:p>
            <w:pPr>
              <w:jc w:val="right"/>
              <w:ind w:right="600"/>
              <w:spacing w:after="0"/>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74"/>
        </w:trPr>
        <w:tc>
          <w:tcPr>
            <w:tcW w:w="4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vMerge w:val="restart"/>
          </w:tcPr>
          <w:p>
            <w:pPr>
              <w:jc w:val="right"/>
              <w:ind w:right="662"/>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5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4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6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218,550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218,550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560" w:type="dxa"/>
            <w:vAlign w:val="bottom"/>
          </w:tcPr>
          <w:p>
            <w:pPr>
              <w:ind w:left="220"/>
              <w:spacing w:after="0"/>
              <w:rPr>
                <w:sz w:val="20"/>
                <w:szCs w:val="20"/>
                <w:color w:val="auto"/>
              </w:rPr>
            </w:pPr>
            <w:r>
              <w:rPr>
                <w:rFonts w:ascii="Arial" w:cs="Arial" w:eastAsia="Arial" w:hAnsi="Arial"/>
                <w:sz w:val="12"/>
                <w:szCs w:val="12"/>
                <w:color w:val="auto"/>
              </w:rPr>
              <w:t>Money market funds</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70,090</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70,090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4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Marketable securities</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60" w:type="dxa"/>
            <w:vAlign w:val="bottom"/>
          </w:tcPr>
          <w:p>
            <w:pPr>
              <w:ind w:left="220"/>
              <w:spacing w:after="0"/>
              <w:rPr>
                <w:sz w:val="20"/>
                <w:szCs w:val="20"/>
                <w:color w:val="auto"/>
              </w:rPr>
            </w:pPr>
            <w:r>
              <w:rPr>
                <w:rFonts w:ascii="Arial" w:cs="Arial" w:eastAsia="Arial" w:hAnsi="Arial"/>
                <w:sz w:val="12"/>
                <w:szCs w:val="12"/>
                <w:color w:val="auto"/>
              </w:rPr>
              <w:t>Corporate debt securities</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133,893</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133,893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4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Long term marketable securities</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60" w:type="dxa"/>
            <w:vAlign w:val="bottom"/>
          </w:tcPr>
          <w:p>
            <w:pPr>
              <w:ind w:left="220"/>
              <w:spacing w:after="0"/>
              <w:rPr>
                <w:sz w:val="20"/>
                <w:szCs w:val="20"/>
                <w:color w:val="auto"/>
              </w:rPr>
            </w:pPr>
            <w:r>
              <w:rPr>
                <w:rFonts w:ascii="Arial" w:cs="Arial" w:eastAsia="Arial" w:hAnsi="Arial"/>
                <w:sz w:val="12"/>
                <w:szCs w:val="12"/>
                <w:color w:val="auto"/>
              </w:rPr>
              <w:t>Corporate debt securities</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350,359</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350,103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4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noncurrent assets</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6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Marketable securities - restricted (SERP)</w:t>
            </w: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547</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773,439</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288,899</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484,540</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4560" w:type="dxa"/>
            <w:vAlign w:val="bottom"/>
          </w:tcPr>
          <w:p>
            <w:pPr>
              <w:spacing w:after="0" w:line="134" w:lineRule="exact"/>
              <w:rPr>
                <w:sz w:val="20"/>
                <w:szCs w:val="20"/>
                <w:color w:val="auto"/>
              </w:rPr>
            </w:pPr>
            <w:r>
              <w:rPr>
                <w:rFonts w:ascii="Arial" w:cs="Arial" w:eastAsia="Arial" w:hAnsi="Arial"/>
                <w:sz w:val="12"/>
                <w:szCs w:val="12"/>
                <w:b w:val="1"/>
                <w:bCs w:val="1"/>
                <w:color w:val="auto"/>
              </w:rPr>
              <w:t>Liabilities:</w:t>
            </w: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Contingent consideration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76,700</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76,700</w:t>
            </w:r>
          </w:p>
        </w:tc>
        <w:tc>
          <w:tcPr>
            <w:tcW w:w="0" w:type="dxa"/>
            <w:vAlign w:val="bottom"/>
          </w:tcPr>
          <w:p>
            <w:pPr>
              <w:spacing w:after="0"/>
              <w:rPr>
                <w:sz w:val="1"/>
                <w:szCs w:val="1"/>
                <w:color w:val="auto"/>
              </w:rPr>
            </w:pPr>
          </w:p>
        </w:tc>
      </w:tr>
      <w:tr>
        <w:trPr>
          <w:trHeight w:val="145"/>
        </w:trPr>
        <w:tc>
          <w:tcPr>
            <w:tcW w:w="4560" w:type="dxa"/>
            <w:vAlign w:val="bottom"/>
          </w:tcPr>
          <w:p>
            <w:pPr>
              <w:spacing w:after="0"/>
              <w:rPr>
                <w:sz w:val="20"/>
                <w:szCs w:val="20"/>
                <w:color w:val="auto"/>
              </w:rPr>
            </w:pPr>
            <w:r>
              <w:rPr>
                <w:rFonts w:ascii="Arial" w:cs="Arial" w:eastAsia="Arial" w:hAnsi="Arial"/>
                <w:sz w:val="12"/>
                <w:szCs w:val="12"/>
                <w:b w:val="1"/>
                <w:bCs w:val="1"/>
                <w:color w:val="auto"/>
              </w:rPr>
              <w:t>Total liabilities at fair value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76,700</w:t>
            </w:r>
          </w:p>
        </w:tc>
        <w:tc>
          <w:tcPr>
            <w:tcW w:w="100" w:type="dxa"/>
            <w:vAlign w:val="bottom"/>
          </w:tcPr>
          <w:p>
            <w:pPr>
              <w:spacing w:after="0"/>
              <w:rPr>
                <w:sz w:val="12"/>
                <w:szCs w:val="12"/>
                <w:color w:val="auto"/>
              </w:rPr>
            </w:pPr>
          </w:p>
        </w:tc>
        <w:tc>
          <w:tcPr>
            <w:tcW w:w="1060" w:type="dxa"/>
            <w:vAlign w:val="bottom"/>
          </w:tcPr>
          <w:p>
            <w:pPr>
              <w:jc w:val="right"/>
              <w:ind w:right="95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76,700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Financial Instruments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carrying amounts of other financial instruments, including accounts receivable, accounts payable, and accrued expenses, approximate fair value due to their short-term maturities.</w:t>
      </w:r>
    </w:p>
    <w:p>
      <w:pPr>
        <w:spacing w:after="0" w:line="127" w:lineRule="exact"/>
        <w:rPr>
          <w:sz w:val="20"/>
          <w:szCs w:val="20"/>
          <w:color w:val="auto"/>
        </w:rPr>
      </w:pPr>
    </w:p>
    <w:p>
      <w:pPr>
        <w:jc w:val="both"/>
        <w:ind w:right="40" w:firstLine="439"/>
        <w:spacing w:after="0" w:line="283" w:lineRule="auto"/>
        <w:rPr>
          <w:sz w:val="20"/>
          <w:szCs w:val="20"/>
          <w:color w:val="auto"/>
        </w:rPr>
      </w:pPr>
      <w:r>
        <w:rPr>
          <w:rFonts w:ascii="Arial" w:cs="Arial" w:eastAsia="Arial" w:hAnsi="Arial"/>
          <w:sz w:val="12"/>
          <w:szCs w:val="12"/>
          <w:color w:val="auto"/>
        </w:rPr>
        <w:t xml:space="preserve">The Company records its convertible debt at carrying value. The fair value of the outstanding convertible debt is based on actual trading information as well as quoted prices, both provided by bond traders. Refer to Note 8, </w:t>
      </w:r>
      <w:r>
        <w:rPr>
          <w:rFonts w:ascii="Arial" w:cs="Arial" w:eastAsia="Arial" w:hAnsi="Arial"/>
          <w:sz w:val="12"/>
          <w:szCs w:val="12"/>
          <w:i w:val="1"/>
          <w:iCs w:val="1"/>
          <w:color w:val="auto"/>
        </w:rPr>
        <w:t>Convertible Senior Notes Due 2023</w:t>
      </w:r>
      <w:r>
        <w:rPr>
          <w:rFonts w:ascii="Arial" w:cs="Arial" w:eastAsia="Arial" w:hAnsi="Arial"/>
          <w:sz w:val="12"/>
          <w:szCs w:val="12"/>
          <w:color w:val="auto"/>
        </w:rPr>
        <w:t>.</w:t>
      </w:r>
    </w:p>
    <w:p>
      <w:pPr>
        <w:spacing w:after="0" w:line="96" w:lineRule="exact"/>
        <w:rPr>
          <w:sz w:val="20"/>
          <w:szCs w:val="20"/>
          <w:color w:val="auto"/>
        </w:rPr>
      </w:pPr>
    </w:p>
    <w:p>
      <w:pPr>
        <w:ind w:right="80" w:firstLine="439"/>
        <w:spacing w:after="0" w:line="283" w:lineRule="auto"/>
        <w:rPr>
          <w:sz w:val="20"/>
          <w:szCs w:val="20"/>
          <w:color w:val="auto"/>
        </w:rPr>
      </w:pPr>
      <w:r>
        <w:rPr>
          <w:rFonts w:ascii="Arial" w:cs="Arial" w:eastAsia="Arial" w:hAnsi="Arial"/>
          <w:sz w:val="12"/>
          <w:szCs w:val="12"/>
          <w:color w:val="auto"/>
        </w:rPr>
        <w:t xml:space="preserve">The Company also had an investment in Navitor LLC, a privately held company, which it classified as Level 3 as it does not have a readily determinable fair value. In the first quarter of 2021, the $15 million investment in Navitor LLC was expensed. Refer to Note 5, </w:t>
      </w:r>
      <w:r>
        <w:rPr>
          <w:rFonts w:ascii="Arial" w:cs="Arial" w:eastAsia="Arial" w:hAnsi="Arial"/>
          <w:sz w:val="12"/>
          <w:szCs w:val="12"/>
          <w:i w:val="1"/>
          <w:iCs w:val="1"/>
          <w:color w:val="auto"/>
        </w:rPr>
        <w:t>Investments</w:t>
      </w:r>
      <w:r>
        <w:rPr>
          <w:rFonts w:ascii="Arial" w:cs="Arial" w:eastAsia="Arial" w:hAnsi="Arial"/>
          <w:sz w:val="12"/>
          <w:szCs w:val="12"/>
          <w:color w:val="auto"/>
        </w:rPr>
        <w: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Contingent Consideration</w:t>
      </w:r>
    </w:p>
    <w:p>
      <w:pPr>
        <w:spacing w:after="0" w:line="137" w:lineRule="exact"/>
        <w:rPr>
          <w:sz w:val="20"/>
          <w:szCs w:val="20"/>
          <w:color w:val="auto"/>
        </w:rPr>
      </w:pPr>
    </w:p>
    <w:p>
      <w:pPr>
        <w:ind w:firstLine="439"/>
        <w:spacing w:after="0" w:line="260" w:lineRule="auto"/>
        <w:rPr>
          <w:sz w:val="20"/>
          <w:szCs w:val="20"/>
          <w:color w:val="auto"/>
        </w:rPr>
      </w:pPr>
      <w:r>
        <w:rPr>
          <w:rFonts w:ascii="Arial" w:cs="Arial" w:eastAsia="Arial" w:hAnsi="Arial"/>
          <w:sz w:val="12"/>
          <w:szCs w:val="12"/>
          <w:color w:val="auto"/>
        </w:rPr>
        <w:t xml:space="preserve">The contingent consideration liabilities are measured at fair value on a recurring basis. The changes in fair value are reported on the condensed consolidated statement of earnings in </w:t>
      </w:r>
      <w:r>
        <w:rPr>
          <w:rFonts w:ascii="Arial" w:cs="Arial" w:eastAsia="Arial" w:hAnsi="Arial"/>
          <w:sz w:val="12"/>
          <w:szCs w:val="12"/>
          <w:i w:val="1"/>
          <w:iCs w:val="1"/>
          <w:color w:val="auto"/>
        </w:rPr>
        <w:t>Contingent Consideration expense</w:t>
      </w:r>
      <w:r>
        <w:rPr>
          <w:rFonts w:ascii="Arial" w:cs="Arial" w:eastAsia="Arial" w:hAnsi="Arial"/>
          <w:sz w:val="12"/>
          <w:szCs w:val="12"/>
          <w:color w:val="auto"/>
        </w:rPr>
        <w:t xml:space="preserve"> </w:t>
      </w:r>
      <w:r>
        <w:rPr>
          <w:rFonts w:ascii="Arial" w:cs="Arial" w:eastAsia="Arial" w:hAnsi="Arial"/>
          <w:sz w:val="12"/>
          <w:szCs w:val="12"/>
          <w:i w:val="1"/>
          <w:iCs w:val="1"/>
          <w:color w:val="auto"/>
        </w:rPr>
        <w:t>(gain)</w:t>
      </w:r>
      <w:r>
        <w:rPr>
          <w:rFonts w:ascii="Arial" w:cs="Arial" w:eastAsia="Arial" w:hAnsi="Arial"/>
          <w:sz w:val="12"/>
          <w:szCs w:val="12"/>
          <w:color w:val="auto"/>
        </w:rPr>
        <w:t>. In the fourth quarter of 2020, the Company recorded a measurement period adjustment of $40.9 million. Refer to Note 3,</w:t>
      </w:r>
      <w:r>
        <w:rPr>
          <w:rFonts w:ascii="Arial" w:cs="Arial" w:eastAsia="Arial" w:hAnsi="Arial"/>
          <w:sz w:val="12"/>
          <w:szCs w:val="12"/>
          <w:i w:val="1"/>
          <w:iCs w:val="1"/>
          <w:color w:val="auto"/>
        </w:rPr>
        <w:t xml:space="preserve"> USWM Acquisition</w:t>
      </w:r>
      <w:r>
        <w:rPr>
          <w:rFonts w:ascii="Arial" w:cs="Arial" w:eastAsia="Arial" w:hAnsi="Arial"/>
          <w:sz w:val="12"/>
          <w:szCs w:val="12"/>
          <w:color w:val="auto"/>
        </w:rPr>
        <w:t>. The Company recorded $0.1 million loss and $7.7 million gain due to the change</w:t>
      </w:r>
      <w:r>
        <w:rPr>
          <w:rFonts w:ascii="Arial" w:cs="Arial" w:eastAsia="Arial" w:hAnsi="Arial"/>
          <w:sz w:val="12"/>
          <w:szCs w:val="12"/>
          <w:i w:val="1"/>
          <w:iCs w:val="1"/>
          <w:color w:val="auto"/>
        </w:rPr>
        <w:t xml:space="preserve"> </w:t>
      </w:r>
      <w:r>
        <w:rPr>
          <w:rFonts w:ascii="Arial" w:cs="Arial" w:eastAsia="Arial" w:hAnsi="Arial"/>
          <w:sz w:val="12"/>
          <w:szCs w:val="12"/>
          <w:color w:val="auto"/>
        </w:rPr>
        <w:t>in fair value of the contingent consideration liabilities for the three and nine months ended September 30, 2021, respectively. The change in fair value of $7.7 million for the nine months ended September 30, 2021 is primarily due to the write-down of the sales based contingent consideration liabilities offset by an increase in the estimated fair value of regulatory and developmental milestones due to the passage of time. The Company assessed that these sales-based milestones will not be achieved based on the revised net sales projections. The probability of achieving these milestones were significantly lower compared to prior estimates. The Company updated its projected net sales of the Products based on recent historical sales trend experience.</w:t>
      </w:r>
    </w:p>
    <w:p>
      <w:pPr>
        <w:spacing w:after="0" w:line="101" w:lineRule="exact"/>
        <w:rPr>
          <w:sz w:val="20"/>
          <w:szCs w:val="20"/>
          <w:color w:val="auto"/>
        </w:rPr>
      </w:pPr>
    </w:p>
    <w:p>
      <w:pPr>
        <w:ind w:right="160" w:firstLine="439"/>
        <w:spacing w:after="0" w:line="283" w:lineRule="auto"/>
        <w:rPr>
          <w:sz w:val="20"/>
          <w:szCs w:val="20"/>
          <w:color w:val="auto"/>
        </w:rPr>
      </w:pPr>
      <w:r>
        <w:rPr>
          <w:rFonts w:ascii="Arial" w:cs="Arial" w:eastAsia="Arial" w:hAnsi="Arial"/>
          <w:sz w:val="12"/>
          <w:szCs w:val="12"/>
          <w:color w:val="auto"/>
        </w:rPr>
        <w:t>The following table provides a reconciliation of the beginning and ending balances related to the contingent consideration for the USWM Acquisition and composition of the contingent consideration liabilities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9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ind w:left="300"/>
              <w:spacing w:after="0"/>
              <w:rPr>
                <w:sz w:val="20"/>
                <w:szCs w:val="20"/>
                <w:color w:val="auto"/>
              </w:rPr>
            </w:pPr>
            <w:r>
              <w:rPr>
                <w:rFonts w:ascii="Arial" w:cs="Arial" w:eastAsia="Arial" w:hAnsi="Arial"/>
                <w:sz w:val="10"/>
                <w:szCs w:val="10"/>
                <w:b w:val="1"/>
                <w:bCs w:val="1"/>
                <w:color w:val="auto"/>
              </w:rPr>
              <w:t>Balance</w:t>
            </w:r>
          </w:p>
        </w:tc>
      </w:tr>
      <w:tr>
        <w:trPr>
          <w:trHeight w:val="160"/>
        </w:trPr>
        <w:tc>
          <w:tcPr>
            <w:tcW w:w="966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76,700</w:t>
            </w:r>
          </w:p>
        </w:tc>
      </w:tr>
      <w:tr>
        <w:trPr>
          <w:trHeight w:val="155"/>
        </w:trPr>
        <w:tc>
          <w:tcPr>
            <w:tcW w:w="96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Change in fair value recognized in earnings (unaudited)</w:t>
            </w: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w w:val="94"/>
              </w:rPr>
              <w:t>(7,650)</w:t>
            </w:r>
          </w:p>
        </w:tc>
      </w:tr>
      <w:tr>
        <w:trPr>
          <w:trHeight w:val="162"/>
        </w:trPr>
        <w:tc>
          <w:tcPr>
            <w:tcW w:w="966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Balance at September 30, 2021 (unaudited)</w:t>
            </w:r>
          </w:p>
        </w:tc>
        <w:tc>
          <w:tcPr>
            <w:tcW w:w="3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2"/>
                <w:szCs w:val="12"/>
                <w:color w:val="auto"/>
              </w:rPr>
              <w:t>69,050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99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9906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Initial measurement at Closing Date at June 9, 2020</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Measurement period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76770" cy="99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770" cy="9906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Change in fair value recognized in earnings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Balance at December 31, 2020</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162" w:hanging="1162"/>
        <w:spacing w:after="0"/>
        <w:tabs>
          <w:tab w:leader="none" w:pos="1162" w:val="left"/>
        </w:tabs>
        <w:numPr>
          <w:ilvl w:val="0"/>
          <w:numId w:val="13"/>
        </w:numPr>
        <w:rPr>
          <w:rFonts w:ascii="Arial" w:cs="Arial" w:eastAsia="Arial" w:hAnsi="Arial"/>
          <w:sz w:val="11"/>
          <w:szCs w:val="11"/>
          <w:color w:val="auto"/>
        </w:rPr>
      </w:pPr>
      <w:r>
        <w:rPr>
          <w:rFonts w:ascii="Arial" w:cs="Arial" w:eastAsia="Arial" w:hAnsi="Arial"/>
          <w:sz w:val="11"/>
          <w:szCs w:val="11"/>
          <w:color w:val="auto"/>
        </w:rPr>
        <w:t>115,700</w:t>
      </w:r>
    </w:p>
    <w:p>
      <w:pPr>
        <w:spacing w:after="0" w:line="29" w:lineRule="exact"/>
        <w:rPr>
          <w:rFonts w:ascii="Arial" w:cs="Arial" w:eastAsia="Arial" w:hAnsi="Arial"/>
          <w:sz w:val="11"/>
          <w:szCs w:val="11"/>
          <w:color w:val="auto"/>
        </w:rPr>
      </w:pPr>
    </w:p>
    <w:p>
      <w:pPr>
        <w:ind w:left="1182"/>
        <w:spacing w:after="0"/>
        <w:rPr>
          <w:rFonts w:ascii="Arial" w:cs="Arial" w:eastAsia="Arial" w:hAnsi="Arial"/>
          <w:sz w:val="11"/>
          <w:szCs w:val="11"/>
          <w:color w:val="auto"/>
        </w:rPr>
      </w:pPr>
      <w:r>
        <w:rPr>
          <w:rFonts w:ascii="Arial" w:cs="Arial" w:eastAsia="Arial" w:hAnsi="Arial"/>
          <w:sz w:val="10"/>
          <w:szCs w:val="10"/>
          <w:color w:val="auto"/>
        </w:rPr>
        <w:t>(40,900)</w:t>
      </w:r>
    </w:p>
    <w:p>
      <w:pPr>
        <w:spacing w:after="0" w:line="40" w:lineRule="exact"/>
        <w:rPr>
          <w:rFonts w:ascii="Arial" w:cs="Arial" w:eastAsia="Arial" w:hAnsi="Arial"/>
          <w:sz w:val="11"/>
          <w:szCs w:val="11"/>
          <w:color w:val="auto"/>
        </w:rPr>
      </w:pPr>
    </w:p>
    <w:p>
      <w:pPr>
        <w:ind w:left="1282"/>
        <w:spacing w:after="0"/>
        <w:rPr>
          <w:rFonts w:ascii="Arial" w:cs="Arial" w:eastAsia="Arial" w:hAnsi="Arial"/>
          <w:sz w:val="11"/>
          <w:szCs w:val="11"/>
          <w:color w:val="auto"/>
        </w:rPr>
      </w:pPr>
      <w:r>
        <w:rPr>
          <w:rFonts w:ascii="Arial" w:cs="Arial" w:eastAsia="Arial" w:hAnsi="Arial"/>
          <w:sz w:val="11"/>
          <w:szCs w:val="11"/>
          <w:color w:val="auto"/>
        </w:rPr>
        <w:t>1,900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0344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34415" cy="5715"/>
                    </a:xfrm>
                    <a:prstGeom prst="rect">
                      <a:avLst/>
                    </a:prstGeom>
                    <a:noFill/>
                  </pic:spPr>
                </pic:pic>
              </a:graphicData>
            </a:graphic>
          </wp:anchor>
        </w:drawing>
      </w:r>
    </w:p>
    <w:p>
      <w:pPr>
        <w:spacing w:after="0" w:line="18" w:lineRule="exact"/>
        <w:rPr>
          <w:sz w:val="20"/>
          <w:szCs w:val="20"/>
          <w:color w:val="auto"/>
        </w:rPr>
      </w:pPr>
    </w:p>
    <w:p>
      <w:pPr>
        <w:ind w:left="1222" w:hanging="1222"/>
        <w:spacing w:after="0"/>
        <w:tabs>
          <w:tab w:leader="none" w:pos="1222" w:val="left"/>
        </w:tabs>
        <w:numPr>
          <w:ilvl w:val="0"/>
          <w:numId w:val="14"/>
        </w:numPr>
        <w:rPr>
          <w:rFonts w:ascii="Arial" w:cs="Arial" w:eastAsia="Arial" w:hAnsi="Arial"/>
          <w:sz w:val="11"/>
          <w:szCs w:val="11"/>
          <w:color w:val="auto"/>
        </w:rPr>
      </w:pPr>
      <w:r>
        <w:rPr>
          <w:rFonts w:ascii="Arial" w:cs="Arial" w:eastAsia="Arial" w:hAnsi="Arial"/>
          <w:sz w:val="11"/>
          <w:szCs w:val="11"/>
          <w:color w:val="auto"/>
        </w:rPr>
        <w:t>76,700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0344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34415"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35560</wp:posOffset>
            </wp:positionV>
            <wp:extent cx="10344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34415" cy="571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8958" w:space="720"/>
            <w:col w:w="1622"/>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5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tcPr>
          <w:p>
            <w:pPr>
              <w:jc w:val="center"/>
              <w:ind w:left="384"/>
              <w:spacing w:after="0"/>
              <w:rPr>
                <w:sz w:val="20"/>
                <w:szCs w:val="20"/>
                <w:color w:val="auto"/>
              </w:rPr>
            </w:pPr>
            <w:r>
              <w:rPr>
                <w:rFonts w:ascii="Arial" w:cs="Arial" w:eastAsia="Arial" w:hAnsi="Arial"/>
                <w:sz w:val="10"/>
                <w:szCs w:val="10"/>
                <w:b w:val="1"/>
                <w:bCs w:val="1"/>
                <w:color w:val="auto"/>
                <w:w w:val="87"/>
              </w:rPr>
              <w:t>September 30,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jc w:val="right"/>
              <w:ind w:right="482"/>
              <w:spacing w:after="0"/>
              <w:rPr>
                <w:sz w:val="20"/>
                <w:szCs w:val="20"/>
                <w:color w:val="auto"/>
              </w:rPr>
            </w:pPr>
            <w:r>
              <w:rPr>
                <w:rFonts w:ascii="Arial" w:cs="Arial" w:eastAsia="Arial" w:hAnsi="Arial"/>
                <w:sz w:val="10"/>
                <w:szCs w:val="10"/>
                <w:b w:val="1"/>
                <w:bCs w:val="1"/>
                <w:color w:val="auto"/>
              </w:rPr>
              <w:t>December 31,</w:t>
            </w:r>
          </w:p>
        </w:tc>
      </w:tr>
      <w:tr>
        <w:trPr>
          <w:trHeight w:val="127"/>
        </w:trPr>
        <w:tc>
          <w:tcPr>
            <w:tcW w:w="54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Borders>
              <w:bottom w:val="single" w:sz="8" w:color="auto"/>
            </w:tcBorders>
          </w:tcPr>
          <w:p>
            <w:pPr>
              <w:jc w:val="center"/>
              <w:ind w:left="384"/>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rPr>
              <w:t>2020</w:t>
            </w:r>
          </w:p>
        </w:tc>
      </w:tr>
      <w:tr>
        <w:trPr>
          <w:trHeight w:val="117"/>
        </w:trPr>
        <w:tc>
          <w:tcPr>
            <w:tcW w:w="5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tcPr>
          <w:p>
            <w:pPr>
              <w:jc w:val="center"/>
              <w:ind w:left="384"/>
              <w:spacing w:after="0"/>
              <w:rPr>
                <w:sz w:val="20"/>
                <w:szCs w:val="20"/>
                <w:color w:val="auto"/>
              </w:rPr>
            </w:pPr>
            <w:r>
              <w:rPr>
                <w:rFonts w:ascii="Arial" w:cs="Arial" w:eastAsia="Arial" w:hAnsi="Arial"/>
                <w:sz w:val="10"/>
                <w:szCs w:val="10"/>
                <w:b w:val="1"/>
                <w:bCs w:val="1"/>
                <w:color w:val="auto"/>
                <w:w w:val="88"/>
              </w:rPr>
              <w:t>(unaudited)</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57"/>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Regulatory and developmental contingent consideration liabilities</w:t>
            </w:r>
          </w:p>
        </w:tc>
        <w:tc>
          <w:tcPr>
            <w:tcW w:w="1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69,050</w:t>
            </w:r>
          </w:p>
        </w:tc>
        <w:tc>
          <w:tcPr>
            <w:tcW w:w="38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68,000</w:t>
            </w:r>
          </w:p>
        </w:tc>
      </w:tr>
      <w:tr>
        <w:trPr>
          <w:trHeight w:val="155"/>
        </w:trPr>
        <w:tc>
          <w:tcPr>
            <w:tcW w:w="54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Sales-based contingent consideration liabilities</w:t>
            </w:r>
          </w:p>
        </w:tc>
        <w:tc>
          <w:tcPr>
            <w:tcW w:w="18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8,700</w:t>
            </w:r>
          </w:p>
        </w:tc>
      </w:tr>
      <w:tr>
        <w:trPr>
          <w:trHeight w:val="165"/>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8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97"/>
              </w:rPr>
              <w:t>69,050</w:t>
            </w: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76,700</w:t>
            </w:r>
          </w:p>
        </w:tc>
      </w:tr>
      <w:tr>
        <w:trPr>
          <w:trHeight w:val="325"/>
        </w:trPr>
        <w:tc>
          <w:tcPr>
            <w:tcW w:w="5480" w:type="dxa"/>
            <w:vAlign w:val="bottom"/>
          </w:tcPr>
          <w:p>
            <w:pPr>
              <w:spacing w:after="0"/>
              <w:rPr>
                <w:sz w:val="20"/>
                <w:szCs w:val="20"/>
                <w:color w:val="auto"/>
              </w:rPr>
            </w:pPr>
            <w:r>
              <w:rPr>
                <w:rFonts w:ascii="Arial" w:cs="Arial" w:eastAsia="Arial" w:hAnsi="Arial"/>
                <w:sz w:val="12"/>
                <w:szCs w:val="12"/>
                <w:b w:val="1"/>
                <w:bCs w:val="1"/>
                <w:color w:val="auto"/>
              </w:rPr>
              <w:t>7.  Goodwill and Intangible Assets, Net</w:t>
            </w: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5"/>
        </w:trPr>
        <w:tc>
          <w:tcPr>
            <w:tcW w:w="8040" w:type="dxa"/>
            <w:vAlign w:val="bottom"/>
            <w:gridSpan w:val="3"/>
          </w:tcPr>
          <w:p>
            <w:pPr>
              <w:ind w:left="440"/>
              <w:spacing w:after="0"/>
              <w:rPr>
                <w:sz w:val="20"/>
                <w:szCs w:val="20"/>
                <w:color w:val="auto"/>
              </w:rPr>
            </w:pPr>
            <w:r>
              <w:rPr>
                <w:rFonts w:ascii="Arial" w:cs="Arial" w:eastAsia="Arial" w:hAnsi="Arial"/>
                <w:sz w:val="12"/>
                <w:szCs w:val="12"/>
                <w:color w:val="auto"/>
                <w:w w:val="93"/>
              </w:rPr>
              <w:t>The following table sets forth the gross carrying amounts and related accumulated amortization of intangibles assets and goodwill (dollars in thousands):</w:t>
            </w: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01"/>
        </w:trPr>
        <w:tc>
          <w:tcPr>
            <w:tcW w:w="5480" w:type="dxa"/>
            <w:vAlign w:val="bottom"/>
          </w:tcPr>
          <w:p>
            <w:pPr>
              <w:spacing w:after="0"/>
              <w:rPr>
                <w:sz w:val="8"/>
                <w:szCs w:val="8"/>
                <w:color w:val="auto"/>
              </w:rPr>
            </w:pPr>
          </w:p>
        </w:tc>
        <w:tc>
          <w:tcPr>
            <w:tcW w:w="2560" w:type="dxa"/>
            <w:vAlign w:val="bottom"/>
            <w:gridSpan w:val="2"/>
          </w:tcPr>
          <w:p>
            <w:pPr>
              <w:jc w:val="right"/>
              <w:ind w:right="1020"/>
              <w:spacing w:after="0" w:line="102" w:lineRule="exact"/>
              <w:rPr>
                <w:sz w:val="20"/>
                <w:szCs w:val="20"/>
                <w:color w:val="auto"/>
              </w:rPr>
            </w:pPr>
            <w:r>
              <w:rPr>
                <w:rFonts w:ascii="Arial" w:cs="Arial" w:eastAsia="Arial" w:hAnsi="Arial"/>
                <w:sz w:val="10"/>
                <w:szCs w:val="10"/>
                <w:b w:val="1"/>
                <w:bCs w:val="1"/>
                <w:color w:val="auto"/>
              </w:rPr>
              <w:t>Remaining Weighted-</w:t>
            </w:r>
          </w:p>
        </w:tc>
        <w:tc>
          <w:tcPr>
            <w:tcW w:w="1200" w:type="dxa"/>
            <w:vAlign w:val="bottom"/>
          </w:tcPr>
          <w:p>
            <w:pPr>
              <w:jc w:val="right"/>
              <w:ind w:right="404"/>
              <w:spacing w:after="0" w:line="102" w:lineRule="exact"/>
              <w:rPr>
                <w:sz w:val="20"/>
                <w:szCs w:val="20"/>
                <w:color w:val="auto"/>
              </w:rPr>
            </w:pPr>
            <w:r>
              <w:rPr>
                <w:rFonts w:ascii="Arial" w:cs="Arial" w:eastAsia="Arial" w:hAnsi="Arial"/>
                <w:sz w:val="10"/>
                <w:szCs w:val="10"/>
                <w:b w:val="1"/>
                <w:bCs w:val="1"/>
                <w:color w:val="auto"/>
              </w:rPr>
              <w:t>September 30,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jc w:val="right"/>
              <w:ind w:right="422"/>
              <w:spacing w:after="0" w:line="102" w:lineRule="exact"/>
              <w:rPr>
                <w:sz w:val="20"/>
                <w:szCs w:val="20"/>
                <w:color w:val="auto"/>
              </w:rPr>
            </w:pPr>
            <w:r>
              <w:rPr>
                <w:rFonts w:ascii="Arial" w:cs="Arial" w:eastAsia="Arial" w:hAnsi="Arial"/>
                <w:sz w:val="10"/>
                <w:szCs w:val="10"/>
                <w:b w:val="1"/>
                <w:bCs w:val="1"/>
                <w:color w:val="auto"/>
              </w:rPr>
              <w:t>December 31,</w:t>
            </w:r>
          </w:p>
        </w:tc>
      </w:tr>
      <w:tr>
        <w:trPr>
          <w:trHeight w:val="127"/>
        </w:trPr>
        <w:tc>
          <w:tcPr>
            <w:tcW w:w="5480" w:type="dxa"/>
            <w:vAlign w:val="bottom"/>
          </w:tcPr>
          <w:p>
            <w:pPr>
              <w:spacing w:after="0"/>
              <w:rPr>
                <w:sz w:val="11"/>
                <w:szCs w:val="11"/>
                <w:color w:val="auto"/>
              </w:rPr>
            </w:pPr>
          </w:p>
        </w:tc>
        <w:tc>
          <w:tcPr>
            <w:tcW w:w="2560" w:type="dxa"/>
            <w:vAlign w:val="bottom"/>
            <w:tcBorders>
              <w:bottom w:val="single" w:sz="8" w:color="auto"/>
            </w:tcBorders>
            <w:gridSpan w:val="2"/>
          </w:tcPr>
          <w:p>
            <w:pPr>
              <w:jc w:val="right"/>
              <w:ind w:right="1280"/>
              <w:spacing w:after="0"/>
              <w:rPr>
                <w:sz w:val="20"/>
                <w:szCs w:val="20"/>
                <w:color w:val="auto"/>
              </w:rPr>
            </w:pPr>
            <w:r>
              <w:rPr>
                <w:rFonts w:ascii="Arial" w:cs="Arial" w:eastAsia="Arial" w:hAnsi="Arial"/>
                <w:sz w:val="10"/>
                <w:szCs w:val="10"/>
                <w:b w:val="1"/>
                <w:bCs w:val="1"/>
                <w:color w:val="auto"/>
              </w:rPr>
              <w:t>Average Life (Years)</w:t>
            </w:r>
          </w:p>
        </w:tc>
        <w:tc>
          <w:tcPr>
            <w:tcW w:w="1200" w:type="dxa"/>
            <w:vAlign w:val="bottom"/>
            <w:tcBorders>
              <w:bottom w:val="single" w:sz="8" w:color="auto"/>
            </w:tcBorders>
          </w:tcPr>
          <w:p>
            <w:pPr>
              <w:jc w:val="right"/>
              <w:ind w:right="82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822"/>
              <w:spacing w:after="0"/>
              <w:rPr>
                <w:sz w:val="20"/>
                <w:szCs w:val="20"/>
                <w:color w:val="auto"/>
              </w:rPr>
            </w:pPr>
            <w:r>
              <w:rPr>
                <w:rFonts w:ascii="Arial" w:cs="Arial" w:eastAsia="Arial" w:hAnsi="Arial"/>
                <w:sz w:val="10"/>
                <w:szCs w:val="10"/>
                <w:b w:val="1"/>
                <w:bCs w:val="1"/>
                <w:color w:val="auto"/>
              </w:rPr>
              <w:t>2020</w:t>
            </w:r>
          </w:p>
        </w:tc>
      </w:tr>
      <w:tr>
        <w:trPr>
          <w:trHeight w:val="117"/>
        </w:trPr>
        <w:tc>
          <w:tcPr>
            <w:tcW w:w="5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tcPr>
          <w:p>
            <w:pPr>
              <w:jc w:val="right"/>
              <w:ind w:right="344"/>
              <w:spacing w:after="0"/>
              <w:rPr>
                <w:sz w:val="20"/>
                <w:szCs w:val="20"/>
                <w:color w:val="auto"/>
              </w:rPr>
            </w:pPr>
            <w:r>
              <w:rPr>
                <w:rFonts w:ascii="Arial" w:cs="Arial" w:eastAsia="Arial" w:hAnsi="Arial"/>
                <w:sz w:val="10"/>
                <w:szCs w:val="10"/>
                <w:b w:val="1"/>
                <w:bCs w:val="1"/>
                <w:color w:val="auto"/>
              </w:rPr>
              <w:t>(unaudited)</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57"/>
        </w:trPr>
        <w:tc>
          <w:tcPr>
            <w:tcW w:w="5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Goodwill</w:t>
            </w:r>
          </w:p>
        </w:tc>
        <w:tc>
          <w:tcPr>
            <w:tcW w:w="2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77,963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77,911</w:t>
            </w:r>
          </w:p>
        </w:tc>
      </w:tr>
      <w:tr>
        <w:trPr>
          <w:trHeight w:val="183"/>
        </w:trPr>
        <w:tc>
          <w:tcPr>
            <w:tcW w:w="5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56"/>
        </w:trPr>
        <w:tc>
          <w:tcPr>
            <w:tcW w:w="54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Intangible assets:</w:t>
            </w:r>
          </w:p>
        </w:tc>
        <w:tc>
          <w:tcPr>
            <w:tcW w:w="1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5"/>
        </w:trPr>
        <w:tc>
          <w:tcPr>
            <w:tcW w:w="5480" w:type="dxa"/>
            <w:vAlign w:val="bottom"/>
          </w:tcPr>
          <w:p>
            <w:pPr>
              <w:ind w:left="520"/>
              <w:spacing w:after="0"/>
              <w:rPr>
                <w:sz w:val="20"/>
                <w:szCs w:val="20"/>
                <w:color w:val="auto"/>
              </w:rPr>
            </w:pPr>
            <w:r>
              <w:rPr>
                <w:rFonts w:ascii="Arial" w:cs="Arial" w:eastAsia="Arial" w:hAnsi="Arial"/>
                <w:sz w:val="12"/>
                <w:szCs w:val="12"/>
                <w:color w:val="auto"/>
              </w:rPr>
              <w:t>Acquired IPR&amp;D</w:t>
            </w:r>
          </w:p>
        </w:tc>
        <w:tc>
          <w:tcPr>
            <w:tcW w:w="2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124,000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123,000</w:t>
            </w:r>
          </w:p>
        </w:tc>
      </w:tr>
      <w:tr>
        <w:trPr>
          <w:trHeight w:val="156"/>
        </w:trPr>
        <w:tc>
          <w:tcPr>
            <w:tcW w:w="54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Definite-lived intangible assets</w:t>
            </w:r>
          </w:p>
        </w:tc>
        <w:tc>
          <w:tcPr>
            <w:tcW w:w="1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5"/>
        </w:trPr>
        <w:tc>
          <w:tcPr>
            <w:tcW w:w="5480" w:type="dxa"/>
            <w:vAlign w:val="bottom"/>
          </w:tcPr>
          <w:p>
            <w:pPr>
              <w:ind w:left="600"/>
              <w:spacing w:after="0"/>
              <w:rPr>
                <w:sz w:val="20"/>
                <w:szCs w:val="20"/>
                <w:color w:val="auto"/>
              </w:rPr>
            </w:pPr>
            <w:r>
              <w:rPr>
                <w:rFonts w:ascii="Arial" w:cs="Arial" w:eastAsia="Arial" w:hAnsi="Arial"/>
                <w:sz w:val="12"/>
                <w:szCs w:val="12"/>
                <w:color w:val="auto"/>
              </w:rPr>
              <w:t>Acquired developed technology and product rights</w:t>
            </w:r>
          </w:p>
        </w:tc>
        <w:tc>
          <w:tcPr>
            <w:tcW w:w="1820" w:type="dxa"/>
            <w:vAlign w:val="bottom"/>
          </w:tcPr>
          <w:p>
            <w:pPr>
              <w:jc w:val="right"/>
              <w:ind w:right="382"/>
              <w:spacing w:after="0"/>
              <w:rPr>
                <w:sz w:val="20"/>
                <w:szCs w:val="20"/>
                <w:color w:val="auto"/>
              </w:rPr>
            </w:pPr>
            <w:r>
              <w:rPr>
                <w:rFonts w:ascii="Arial" w:cs="Arial" w:eastAsia="Arial" w:hAnsi="Arial"/>
                <w:sz w:val="12"/>
                <w:szCs w:val="12"/>
                <w:color w:val="auto"/>
              </w:rPr>
              <w:t>9.25 - 11.25</w:t>
            </w:r>
          </w:p>
        </w:tc>
        <w:tc>
          <w:tcPr>
            <w:tcW w:w="7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231,000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232,000</w:t>
            </w:r>
          </w:p>
        </w:tc>
      </w:tr>
      <w:tr>
        <w:trPr>
          <w:trHeight w:val="156"/>
        </w:trPr>
        <w:tc>
          <w:tcPr>
            <w:tcW w:w="5480" w:type="dxa"/>
            <w:vAlign w:val="bottom"/>
            <w:shd w:val="clear" w:color="auto" w:fill="CCEEFF"/>
          </w:tcPr>
          <w:p>
            <w:pPr>
              <w:ind w:left="600"/>
              <w:spacing w:after="0"/>
              <w:rPr>
                <w:sz w:val="20"/>
                <w:szCs w:val="20"/>
                <w:color w:val="auto"/>
              </w:rPr>
            </w:pPr>
            <w:r>
              <w:rPr>
                <w:rFonts w:ascii="Arial" w:cs="Arial" w:eastAsia="Arial" w:hAnsi="Arial"/>
                <w:sz w:val="12"/>
                <w:szCs w:val="12"/>
                <w:color w:val="auto"/>
              </w:rPr>
              <w:t>Capitalized patent defense costs</w:t>
            </w:r>
          </w:p>
        </w:tc>
        <w:tc>
          <w:tcPr>
            <w:tcW w:w="1820" w:type="dxa"/>
            <w:vAlign w:val="bottom"/>
            <w:shd w:val="clear" w:color="auto" w:fill="CCEEFF"/>
          </w:tcPr>
          <w:p>
            <w:pPr>
              <w:jc w:val="right"/>
              <w:ind w:right="442"/>
              <w:spacing w:after="0"/>
              <w:rPr>
                <w:sz w:val="20"/>
                <w:szCs w:val="20"/>
                <w:color w:val="auto"/>
              </w:rPr>
            </w:pPr>
            <w:r>
              <w:rPr>
                <w:rFonts w:ascii="Arial" w:cs="Arial" w:eastAsia="Arial" w:hAnsi="Arial"/>
                <w:sz w:val="12"/>
                <w:szCs w:val="12"/>
                <w:color w:val="auto"/>
              </w:rPr>
              <w:t>1.25 - 5.5</w:t>
            </w:r>
          </w:p>
        </w:tc>
        <w:tc>
          <w:tcPr>
            <w:tcW w:w="7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43,820</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43,579</w:t>
            </w:r>
          </w:p>
        </w:tc>
      </w:tr>
      <w:tr>
        <w:trPr>
          <w:trHeight w:val="145"/>
        </w:trPr>
        <w:tc>
          <w:tcPr>
            <w:tcW w:w="5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398,820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398,579</w:t>
            </w:r>
          </w:p>
        </w:tc>
      </w:tr>
      <w:tr>
        <w:trPr>
          <w:trHeight w:val="156"/>
        </w:trPr>
        <w:tc>
          <w:tcPr>
            <w:tcW w:w="5480" w:type="dxa"/>
            <w:vAlign w:val="bottom"/>
            <w:shd w:val="clear" w:color="auto" w:fill="CCEEFF"/>
          </w:tcPr>
          <w:p>
            <w:pPr>
              <w:ind w:left="600"/>
              <w:spacing w:after="0"/>
              <w:rPr>
                <w:sz w:val="20"/>
                <w:szCs w:val="20"/>
                <w:color w:val="auto"/>
              </w:rPr>
            </w:pPr>
            <w:r>
              <w:rPr>
                <w:rFonts w:ascii="Arial" w:cs="Arial" w:eastAsia="Arial" w:hAnsi="Arial"/>
                <w:sz w:val="12"/>
                <w:szCs w:val="12"/>
                <w:color w:val="auto"/>
              </w:rPr>
              <w:t>Less accumulated amortization</w:t>
            </w:r>
          </w:p>
        </w:tc>
        <w:tc>
          <w:tcPr>
            <w:tcW w:w="18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(52,201)</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(34,237)</w:t>
            </w:r>
          </w:p>
        </w:tc>
      </w:tr>
      <w:tr>
        <w:trPr>
          <w:trHeight w:val="144"/>
        </w:trPr>
        <w:tc>
          <w:tcPr>
            <w:tcW w:w="5480" w:type="dxa"/>
            <w:vAlign w:val="bottom"/>
          </w:tcPr>
          <w:p>
            <w:pPr>
              <w:ind w:left="440"/>
              <w:spacing w:after="0" w:line="135" w:lineRule="exact"/>
              <w:rPr>
                <w:sz w:val="20"/>
                <w:szCs w:val="20"/>
                <w:color w:val="auto"/>
              </w:rPr>
            </w:pPr>
            <w:r>
              <w:rPr>
                <w:rFonts w:ascii="Arial" w:cs="Arial" w:eastAsia="Arial" w:hAnsi="Arial"/>
                <w:sz w:val="12"/>
                <w:szCs w:val="12"/>
                <w:color w:val="auto"/>
              </w:rPr>
              <w:t>Total intangible assets, net</w:t>
            </w:r>
          </w:p>
        </w:tc>
        <w:tc>
          <w:tcPr>
            <w:tcW w:w="2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346,619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364,342</w:t>
            </w:r>
          </w:p>
        </w:tc>
      </w:tr>
      <w:tr>
        <w:trPr>
          <w:trHeight w:val="20"/>
        </w:trPr>
        <w:tc>
          <w:tcPr>
            <w:tcW w:w="5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 xml:space="preserve">The increase in goodwill represents measurement period adjustments recorded in 2021 related to the finalization of the business combination accounting of the USWM Acquisition. Refer to Note 3, </w:t>
      </w:r>
      <w:r>
        <w:rPr>
          <w:rFonts w:ascii="Arial" w:cs="Arial" w:eastAsia="Arial" w:hAnsi="Arial"/>
          <w:sz w:val="11"/>
          <w:szCs w:val="11"/>
          <w:i w:val="1"/>
          <w:iCs w:val="1"/>
          <w:color w:val="auto"/>
        </w:rPr>
        <w:t>USWM Acquisition.</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17" w:name="page18"/>
    <w:bookmarkEnd w:id="17"/>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right="60" w:firstLine="439"/>
        <w:spacing w:after="0" w:line="283" w:lineRule="auto"/>
        <w:rPr>
          <w:sz w:val="20"/>
          <w:szCs w:val="20"/>
          <w:color w:val="auto"/>
        </w:rPr>
      </w:pPr>
      <w:r>
        <w:rPr>
          <w:rFonts w:ascii="Arial" w:cs="Arial" w:eastAsia="Arial" w:hAnsi="Arial"/>
          <w:sz w:val="12"/>
          <w:szCs w:val="12"/>
          <w:color w:val="auto"/>
        </w:rPr>
        <w:t>Patent defense costs are deferred legal fees incurred in conjunction with defending patents for Oxtellar XR and Trokendi XR. U.S. patents covering Oxtellar XR and Trokendi XR will expire no earlier than 2027. In regard to Trokendi XR, the Company entered into settlement agreements that allow third parties to enter the market by January 1, 2023, or earlier under certain circumstances.</w:t>
      </w:r>
    </w:p>
    <w:p>
      <w:pPr>
        <w:spacing w:after="0" w:line="96" w:lineRule="exact"/>
        <w:rPr>
          <w:sz w:val="20"/>
          <w:szCs w:val="20"/>
          <w:color w:val="auto"/>
        </w:rPr>
      </w:pPr>
    </w:p>
    <w:p>
      <w:pPr>
        <w:ind w:left="7" w:right="60" w:firstLine="439"/>
        <w:spacing w:after="0" w:line="331" w:lineRule="auto"/>
        <w:rPr>
          <w:sz w:val="20"/>
          <w:szCs w:val="20"/>
          <w:color w:val="auto"/>
        </w:rPr>
      </w:pPr>
      <w:r>
        <w:rPr>
          <w:rFonts w:ascii="Arial" w:cs="Arial" w:eastAsia="Arial" w:hAnsi="Arial"/>
          <w:sz w:val="11"/>
          <w:szCs w:val="11"/>
          <w:color w:val="auto"/>
        </w:rPr>
        <w:t>Amortization expense for intangible assets was approximately $6.0 million and $18.0 million for the three and nine months ended September 30, 2021, respectively, and approximately $6.1 million and $9.8 million for the three and nine months ended September 30, 2020, respectively. The increase in expense is due to amortization of the acquired developed technology and product rights from the USWM Acquisition.</w:t>
      </w:r>
    </w:p>
    <w:p>
      <w:pPr>
        <w:spacing w:after="0" w:line="59" w:lineRule="exact"/>
        <w:rPr>
          <w:sz w:val="20"/>
          <w:szCs w:val="20"/>
          <w:color w:val="auto"/>
        </w:rPr>
      </w:pPr>
    </w:p>
    <w:p>
      <w:pPr>
        <w:ind w:left="207" w:hanging="207"/>
        <w:spacing w:after="0"/>
        <w:tabs>
          <w:tab w:leader="none" w:pos="207"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Convertible Senior Notes Due 2023</w:t>
      </w:r>
    </w:p>
    <w:p>
      <w:pPr>
        <w:spacing w:after="0" w:line="131" w:lineRule="exact"/>
        <w:rPr>
          <w:sz w:val="20"/>
          <w:szCs w:val="20"/>
          <w:color w:val="auto"/>
        </w:rPr>
      </w:pPr>
    </w:p>
    <w:p>
      <w:pPr>
        <w:ind w:left="7" w:firstLine="439"/>
        <w:spacing w:after="0" w:line="331" w:lineRule="auto"/>
        <w:rPr>
          <w:sz w:val="20"/>
          <w:szCs w:val="20"/>
          <w:color w:val="auto"/>
        </w:rPr>
      </w:pPr>
      <w:r>
        <w:rPr>
          <w:rFonts w:ascii="Arial" w:cs="Arial" w:eastAsia="Arial" w:hAnsi="Arial"/>
          <w:sz w:val="11"/>
          <w:szCs w:val="11"/>
          <w:color w:val="auto"/>
        </w:rPr>
        <w:t>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Company may not redeem the 2023 Notes at its option before maturity. The total principal amount of 2023 Notes is $402.5 million.</w:t>
      </w:r>
    </w:p>
    <w:p>
      <w:pPr>
        <w:spacing w:after="0" w:line="72" w:lineRule="exact"/>
        <w:rPr>
          <w:sz w:val="20"/>
          <w:szCs w:val="20"/>
          <w:color w:val="auto"/>
        </w:rPr>
      </w:pPr>
    </w:p>
    <w:p>
      <w:pPr>
        <w:ind w:left="7" w:right="80" w:firstLine="439"/>
        <w:spacing w:after="0" w:line="269" w:lineRule="auto"/>
        <w:rPr>
          <w:sz w:val="20"/>
          <w:szCs w:val="20"/>
          <w:color w:val="auto"/>
        </w:rPr>
      </w:pPr>
      <w:r>
        <w:rPr>
          <w:rFonts w:ascii="Arial" w:cs="Arial" w:eastAsia="Arial" w:hAnsi="Arial"/>
          <w:sz w:val="12"/>
          <w:szCs w:val="12"/>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any restrictions on the payment of dividends, the issuance of other indebtedness, or the issuance or repurchase of securities by the Company.</w:t>
      </w:r>
    </w:p>
    <w:p>
      <w:pPr>
        <w:spacing w:after="0" w:line="94" w:lineRule="exact"/>
        <w:rPr>
          <w:sz w:val="20"/>
          <w:szCs w:val="20"/>
          <w:color w:val="auto"/>
        </w:rPr>
      </w:pPr>
    </w:p>
    <w:p>
      <w:pPr>
        <w:ind w:left="7" w:right="60" w:firstLine="439"/>
        <w:spacing w:after="0" w:line="288" w:lineRule="auto"/>
        <w:rPr>
          <w:sz w:val="20"/>
          <w:szCs w:val="20"/>
          <w:color w:val="auto"/>
        </w:rPr>
      </w:pPr>
      <w:r>
        <w:rPr>
          <w:rFonts w:ascii="Arial" w:cs="Arial" w:eastAsia="Arial" w:hAnsi="Arial"/>
          <w:sz w:val="11"/>
          <w:szCs w:val="11"/>
          <w:color w:val="auto"/>
        </w:rPr>
        <w:t>Noteholders may convert their 2023 Notes at their option only in the following circumstances: (1) during any calendar quarter, if the last reported sale price per share of the Company's common stock for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w:t>
      </w:r>
    </w:p>
    <w:p>
      <w:pPr>
        <w:spacing w:after="0" w:line="87" w:lineRule="exact"/>
        <w:rPr>
          <w:sz w:val="20"/>
          <w:szCs w:val="20"/>
          <w:color w:val="auto"/>
        </w:rPr>
      </w:pPr>
    </w:p>
    <w:p>
      <w:pPr>
        <w:jc w:val="both"/>
        <w:ind w:left="7" w:right="20" w:firstLine="439"/>
        <w:spacing w:after="0" w:line="304" w:lineRule="auto"/>
        <w:rPr>
          <w:sz w:val="20"/>
          <w:szCs w:val="20"/>
          <w:color w:val="auto"/>
        </w:rPr>
      </w:pPr>
      <w:r>
        <w:rPr>
          <w:rFonts w:ascii="Arial" w:cs="Arial" w:eastAsia="Arial" w:hAnsi="Arial"/>
          <w:sz w:val="11"/>
          <w:szCs w:val="11"/>
          <w:color w:val="auto"/>
        </w:rPr>
        <w:t>At its election, the Company will settle conversions by paying or delivering, as applicable, cash, shares of the Company’s common stock, or a combination of cash and shares of the Company’s common stock,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87" w:lineRule="exact"/>
        <w:rPr>
          <w:sz w:val="20"/>
          <w:szCs w:val="20"/>
          <w:color w:val="auto"/>
        </w:rPr>
      </w:pPr>
    </w:p>
    <w:p>
      <w:pPr>
        <w:ind w:left="7" w:right="60" w:firstLine="439"/>
        <w:spacing w:after="0" w:line="269" w:lineRule="auto"/>
        <w:rPr>
          <w:sz w:val="20"/>
          <w:szCs w:val="20"/>
          <w:color w:val="auto"/>
        </w:rPr>
      </w:pPr>
      <w:r>
        <w:rPr>
          <w:rFonts w:ascii="Arial" w:cs="Arial" w:eastAsia="Arial" w:hAnsi="Arial"/>
          <w:sz w:val="12"/>
          <w:szCs w:val="12"/>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94" w:lineRule="exact"/>
        <w:rPr>
          <w:sz w:val="20"/>
          <w:szCs w:val="20"/>
          <w:color w:val="auto"/>
        </w:rPr>
      </w:pPr>
    </w:p>
    <w:p>
      <w:pPr>
        <w:ind w:left="7" w:right="40" w:firstLine="439"/>
        <w:spacing w:after="0" w:line="264" w:lineRule="auto"/>
        <w:rPr>
          <w:sz w:val="20"/>
          <w:szCs w:val="20"/>
          <w:color w:val="auto"/>
        </w:rPr>
      </w:pPr>
      <w:r>
        <w:rPr>
          <w:rFonts w:ascii="Arial" w:cs="Arial" w:eastAsia="Arial" w:hAnsi="Arial"/>
          <w:sz w:val="12"/>
          <w:szCs w:val="12"/>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97" w:lineRule="exact"/>
        <w:rPr>
          <w:sz w:val="20"/>
          <w:szCs w:val="20"/>
          <w:color w:val="auto"/>
        </w:rPr>
      </w:pPr>
    </w:p>
    <w:p>
      <w:pPr>
        <w:ind w:left="7" w:right="100" w:firstLine="439"/>
        <w:spacing w:after="0" w:line="269" w:lineRule="auto"/>
        <w:rPr>
          <w:sz w:val="20"/>
          <w:szCs w:val="20"/>
          <w:color w:val="auto"/>
        </w:rPr>
      </w:pPr>
      <w:r>
        <w:rPr>
          <w:rFonts w:ascii="Arial" w:cs="Arial" w:eastAsia="Arial" w:hAnsi="Arial"/>
          <w:sz w:val="12"/>
          <w:szCs w:val="12"/>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$80.9063 per share of the Company’s common stock, and is subject to adjustment.</w:t>
      </w:r>
    </w:p>
    <w:p>
      <w:pPr>
        <w:spacing w:after="0" w:line="378"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7"/>
          </w:cols>
          <w:pgMar w:left="293" w:top="131" w:right="33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360" w:firstLine="439"/>
        <w:spacing w:after="0" w:line="283" w:lineRule="auto"/>
        <w:rPr>
          <w:sz w:val="20"/>
          <w:szCs w:val="20"/>
          <w:color w:val="auto"/>
        </w:rPr>
      </w:pPr>
      <w:r>
        <w:rPr>
          <w:rFonts w:ascii="Arial" w:cs="Arial" w:eastAsia="Arial" w:hAnsi="Arial"/>
          <w:sz w:val="12"/>
          <w:szCs w:val="12"/>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w:t>
      </w:r>
    </w:p>
    <w:p>
      <w:pPr>
        <w:spacing w:after="0" w:line="96" w:lineRule="exact"/>
        <w:rPr>
          <w:sz w:val="20"/>
          <w:szCs w:val="20"/>
          <w:color w:val="auto"/>
        </w:rPr>
      </w:pPr>
    </w:p>
    <w:p>
      <w:pPr>
        <w:ind w:right="60" w:firstLine="439"/>
        <w:spacing w:after="0" w:line="331" w:lineRule="auto"/>
        <w:rPr>
          <w:sz w:val="20"/>
          <w:szCs w:val="20"/>
          <w:color w:val="auto"/>
        </w:rPr>
      </w:pPr>
      <w:r>
        <w:rPr>
          <w:rFonts w:ascii="Arial" w:cs="Arial" w:eastAsia="Arial" w:hAnsi="Arial"/>
          <w:sz w:val="11"/>
          <w:szCs w:val="11"/>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liability component of the 2023 Notes consists of the following (dollars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60" w:type="dxa"/>
            <w:vAlign w:val="bottom"/>
          </w:tcPr>
          <w:p>
            <w:pPr>
              <w:spacing w:after="0"/>
              <w:rPr>
                <w:sz w:val="10"/>
                <w:szCs w:val="10"/>
                <w:color w:val="auto"/>
              </w:rPr>
            </w:pP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September 30,</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ind w:left="220"/>
              <w:spacing w:after="0"/>
              <w:rPr>
                <w:sz w:val="20"/>
                <w:szCs w:val="20"/>
                <w:color w:val="auto"/>
              </w:rPr>
            </w:pPr>
            <w:r>
              <w:rPr>
                <w:rFonts w:ascii="Arial" w:cs="Arial" w:eastAsia="Arial" w:hAnsi="Arial"/>
                <w:sz w:val="10"/>
                <w:szCs w:val="10"/>
                <w:b w:val="1"/>
                <w:bCs w:val="1"/>
                <w:color w:val="auto"/>
              </w:rPr>
              <w:t>December 31,</w:t>
            </w:r>
          </w:p>
        </w:tc>
      </w:tr>
      <w:tr>
        <w:trPr>
          <w:trHeight w:val="127"/>
        </w:trPr>
        <w:tc>
          <w:tcPr>
            <w:tcW w:w="7260" w:type="dxa"/>
            <w:vAlign w:val="bottom"/>
          </w:tcPr>
          <w:p>
            <w:pPr>
              <w:spacing w:after="0"/>
              <w:rPr>
                <w:sz w:val="11"/>
                <w:szCs w:val="11"/>
                <w:color w:val="auto"/>
              </w:rPr>
            </w:pPr>
          </w:p>
        </w:tc>
        <w:tc>
          <w:tcPr>
            <w:tcW w:w="1520" w:type="dxa"/>
            <w:vAlign w:val="bottom"/>
            <w:tcBorders>
              <w:bottom w:val="single" w:sz="8" w:color="auto"/>
            </w:tcBorders>
          </w:tcPr>
          <w:p>
            <w:pPr>
              <w:jc w:val="right"/>
              <w:ind w:right="385"/>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2020</w:t>
            </w:r>
          </w:p>
        </w:tc>
      </w:tr>
      <w:tr>
        <w:trPr>
          <w:trHeight w:val="117"/>
        </w:trPr>
        <w:tc>
          <w:tcPr>
            <w:tcW w:w="7260" w:type="dxa"/>
            <w:vAlign w:val="bottom"/>
          </w:tcPr>
          <w:p>
            <w:pPr>
              <w:spacing w:after="0"/>
              <w:rPr>
                <w:sz w:val="10"/>
                <w:szCs w:val="10"/>
                <w:color w:val="auto"/>
              </w:rPr>
            </w:pPr>
          </w:p>
        </w:tc>
        <w:tc>
          <w:tcPr>
            <w:tcW w:w="1520" w:type="dxa"/>
            <w:vAlign w:val="bottom"/>
          </w:tcPr>
          <w:p>
            <w:pPr>
              <w:jc w:val="right"/>
              <w:ind w:right="5"/>
              <w:spacing w:after="0"/>
              <w:rPr>
                <w:sz w:val="20"/>
                <w:szCs w:val="20"/>
                <w:color w:val="auto"/>
              </w:rPr>
            </w:pPr>
            <w:r>
              <w:rPr>
                <w:rFonts w:ascii="Arial" w:cs="Arial" w:eastAsia="Arial" w:hAnsi="Arial"/>
                <w:sz w:val="10"/>
                <w:szCs w:val="10"/>
                <w:b w:val="1"/>
                <w:bCs w:val="1"/>
                <w:color w:val="auto"/>
              </w:rPr>
              <w:t>(unaudited)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57"/>
        </w:trPr>
        <w:tc>
          <w:tcPr>
            <w:tcW w:w="72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2023 Notes</w:t>
            </w:r>
          </w:p>
        </w:tc>
        <w:tc>
          <w:tcPr>
            <w:tcW w:w="1520" w:type="dxa"/>
            <w:vAlign w:val="bottom"/>
            <w:shd w:val="clear" w:color="auto" w:fill="CCEEFF"/>
          </w:tcPr>
          <w:p>
            <w:pPr>
              <w:jc w:val="right"/>
              <w:ind w:right="945"/>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402,500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ind w:left="820"/>
              <w:spacing w:after="0"/>
              <w:rPr>
                <w:sz w:val="20"/>
                <w:szCs w:val="20"/>
                <w:color w:val="auto"/>
              </w:rPr>
            </w:pPr>
            <w:r>
              <w:rPr>
                <w:rFonts w:ascii="Arial" w:cs="Arial" w:eastAsia="Arial" w:hAnsi="Arial"/>
                <w:sz w:val="12"/>
                <w:szCs w:val="12"/>
                <w:color w:val="auto"/>
              </w:rPr>
              <w:t>402,500</w:t>
            </w:r>
          </w:p>
        </w:tc>
      </w:tr>
      <w:tr>
        <w:trPr>
          <w:trHeight w:val="155"/>
        </w:trPr>
        <w:tc>
          <w:tcPr>
            <w:tcW w:w="72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Unamortized debt discount and deferred financing costs</w:t>
            </w:r>
          </w:p>
        </w:tc>
        <w:tc>
          <w:tcPr>
            <w:tcW w:w="1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93"/>
              </w:rPr>
              <w:t>(27,712)</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w w:val="93"/>
              </w:rPr>
              <w:t>(40,749)</w:t>
            </w:r>
          </w:p>
        </w:tc>
      </w:tr>
      <w:tr>
        <w:trPr>
          <w:trHeight w:val="162"/>
        </w:trPr>
        <w:tc>
          <w:tcPr>
            <w:tcW w:w="7260" w:type="dxa"/>
            <w:vAlign w:val="bottom"/>
            <w:tcBorders>
              <w:bottom w:val="single" w:sz="8" w:color="CCEEFF"/>
            </w:tcBorders>
            <w:shd w:val="clear" w:color="auto" w:fill="CCEEFF"/>
          </w:tcPr>
          <w:p>
            <w:pPr>
              <w:ind w:left="440"/>
              <w:spacing w:after="0" w:line="136" w:lineRule="exact"/>
              <w:rPr>
                <w:sz w:val="20"/>
                <w:szCs w:val="20"/>
                <w:color w:val="auto"/>
              </w:rPr>
            </w:pPr>
            <w:r>
              <w:rPr>
                <w:rFonts w:ascii="Arial" w:cs="Arial" w:eastAsia="Arial" w:hAnsi="Arial"/>
                <w:sz w:val="12"/>
                <w:szCs w:val="12"/>
                <w:color w:val="auto"/>
              </w:rPr>
              <w:t>Total carrying value</w:t>
            </w:r>
          </w:p>
        </w:tc>
        <w:tc>
          <w:tcPr>
            <w:tcW w:w="152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96"/>
              </w:rPr>
              <w:t>374,788</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2"/>
                <w:szCs w:val="12"/>
                <w:color w:val="auto"/>
              </w:rPr>
              <w:t>361,751</w:t>
            </w:r>
          </w:p>
        </w:tc>
      </w:tr>
      <w:tr>
        <w:trPr>
          <w:trHeight w:val="156"/>
        </w:trPr>
        <w:tc>
          <w:tcPr>
            <w:tcW w:w="7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6"/>
        </w:trPr>
        <w:tc>
          <w:tcPr>
            <w:tcW w:w="72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Fair value (Level 2)</w:t>
            </w:r>
          </w:p>
        </w:tc>
        <w:tc>
          <w:tcPr>
            <w:tcW w:w="1520" w:type="dxa"/>
            <w:vAlign w:val="bottom"/>
            <w:shd w:val="clear" w:color="auto" w:fill="CCEEFF"/>
          </w:tcPr>
          <w:p>
            <w:pPr>
              <w:jc w:val="right"/>
              <w:ind w:right="945"/>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397,469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ind w:left="820"/>
              <w:spacing w:after="0"/>
              <w:rPr>
                <w:sz w:val="20"/>
                <w:szCs w:val="20"/>
                <w:color w:val="auto"/>
              </w:rPr>
            </w:pPr>
            <w:r>
              <w:rPr>
                <w:rFonts w:ascii="Arial" w:cs="Arial" w:eastAsia="Arial" w:hAnsi="Arial"/>
                <w:sz w:val="12"/>
                <w:szCs w:val="12"/>
                <w:color w:val="auto"/>
              </w:rPr>
              <w:t>383,381</w:t>
            </w:r>
          </w:p>
        </w:tc>
      </w:tr>
    </w:tbl>
    <w:p>
      <w:pPr>
        <w:spacing w:after="0" w:line="17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 2023 Notes were converted as of September 30, 2021 or December 31, 2020.</w:t>
      </w:r>
    </w:p>
    <w:p>
      <w:pPr>
        <w:spacing w:after="0" w:line="123"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0"/>
          <w:szCs w:val="10"/>
          <w:b w:val="1"/>
          <w:bCs w:val="1"/>
          <w:color w:val="auto"/>
        </w:rPr>
        <w:t>Share-Based Payments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Share-based compensation expense is as follows (dollars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920" w:type="dxa"/>
            <w:vAlign w:val="bottom"/>
            <w:gridSpan w:val="4"/>
          </w:tcPr>
          <w:p>
            <w:pPr>
              <w:jc w:val="center"/>
              <w:ind w:right="450"/>
              <w:spacing w:after="0"/>
              <w:rPr>
                <w:sz w:val="20"/>
                <w:szCs w:val="20"/>
                <w:color w:val="auto"/>
              </w:rPr>
            </w:pPr>
            <w:r>
              <w:rPr>
                <w:rFonts w:ascii="Arial" w:cs="Arial" w:eastAsia="Arial" w:hAnsi="Arial"/>
                <w:sz w:val="10"/>
                <w:szCs w:val="10"/>
                <w:b w:val="1"/>
                <w:bCs w:val="1"/>
                <w:color w:val="auto"/>
                <w:w w:val="87"/>
              </w:rPr>
              <w:t>Three Months ended</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80" w:type="dxa"/>
            <w:vAlign w:val="bottom"/>
            <w:gridSpan w:val="4"/>
          </w:tcPr>
          <w:p>
            <w:pPr>
              <w:jc w:val="center"/>
              <w:ind w:left="645"/>
              <w:spacing w:after="0"/>
              <w:rPr>
                <w:sz w:val="20"/>
                <w:szCs w:val="20"/>
                <w:color w:val="auto"/>
              </w:rPr>
            </w:pPr>
            <w:r>
              <w:rPr>
                <w:rFonts w:ascii="Arial" w:cs="Arial" w:eastAsia="Arial" w:hAnsi="Arial"/>
                <w:sz w:val="10"/>
                <w:szCs w:val="10"/>
                <w:b w:val="1"/>
                <w:bCs w:val="1"/>
                <w:color w:val="auto"/>
                <w:w w:val="86"/>
              </w:rPr>
              <w:t>Nine Months ended</w:t>
            </w:r>
          </w:p>
        </w:tc>
        <w:tc>
          <w:tcPr>
            <w:tcW w:w="1040" w:type="dxa"/>
            <w:vAlign w:val="bottom"/>
          </w:tcPr>
          <w:p>
            <w:pPr>
              <w:spacing w:after="0"/>
              <w:rPr>
                <w:sz w:val="10"/>
                <w:szCs w:val="10"/>
                <w:color w:val="auto"/>
              </w:rPr>
            </w:pPr>
          </w:p>
        </w:tc>
      </w:tr>
      <w:tr>
        <w:trPr>
          <w:trHeight w:val="127"/>
        </w:trPr>
        <w:tc>
          <w:tcPr>
            <w:tcW w:w="368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September 30,</w:t>
            </w:r>
          </w:p>
        </w:tc>
        <w:tc>
          <w:tcPr>
            <w:tcW w:w="9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ind w:left="82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17"/>
        </w:trPr>
        <w:tc>
          <w:tcPr>
            <w:tcW w:w="3680" w:type="dxa"/>
            <w:vAlign w:val="bottom"/>
          </w:tcPr>
          <w:p>
            <w:pPr>
              <w:spacing w:after="0"/>
              <w:rPr>
                <w:sz w:val="10"/>
                <w:szCs w:val="10"/>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2020</w:t>
            </w: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45"/>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2020</w:t>
            </w:r>
          </w:p>
        </w:tc>
      </w:tr>
      <w:tr>
        <w:trPr>
          <w:trHeight w:val="117"/>
        </w:trPr>
        <w:tc>
          <w:tcPr>
            <w:tcW w:w="3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57"/>
        </w:trPr>
        <w:tc>
          <w:tcPr>
            <w:tcW w:w="3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Research and development</w:t>
            </w:r>
          </w:p>
        </w:tc>
        <w:tc>
          <w:tcPr>
            <w:tcW w:w="1380" w:type="dxa"/>
            <w:vAlign w:val="bottom"/>
            <w:shd w:val="clear" w:color="auto" w:fill="CCEEFF"/>
          </w:tcPr>
          <w:p>
            <w:pPr>
              <w:jc w:val="right"/>
              <w:ind w:right="803"/>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2,276</w:t>
            </w:r>
          </w:p>
        </w:tc>
      </w:tr>
      <w:tr>
        <w:trPr>
          <w:trHeight w:val="155"/>
        </w:trPr>
        <w:tc>
          <w:tcPr>
            <w:tcW w:w="36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Selling, general and administrative</w:t>
            </w:r>
          </w:p>
        </w:tc>
        <w:tc>
          <w:tcPr>
            <w:tcW w:w="1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3,412</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3,713</w:t>
            </w: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11,965</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11,164</w:t>
            </w:r>
          </w:p>
        </w:tc>
      </w:tr>
      <w:tr>
        <w:trPr>
          <w:trHeight w:val="162"/>
        </w:trPr>
        <w:tc>
          <w:tcPr>
            <w:tcW w:w="3680" w:type="dxa"/>
            <w:vAlign w:val="bottom"/>
            <w:tcBorders>
              <w:bottom w:val="single" w:sz="8" w:color="CCEEFF"/>
            </w:tcBorders>
            <w:shd w:val="clear" w:color="auto" w:fill="CCEEFF"/>
          </w:tcPr>
          <w:p>
            <w:pPr>
              <w:ind w:left="440"/>
              <w:spacing w:after="0" w:line="136" w:lineRule="exact"/>
              <w:rPr>
                <w:sz w:val="20"/>
                <w:szCs w:val="20"/>
                <w:color w:val="auto"/>
              </w:rPr>
            </w:pPr>
            <w:r>
              <w:rPr>
                <w:rFonts w:ascii="Arial" w:cs="Arial" w:eastAsia="Arial" w:hAnsi="Arial"/>
                <w:sz w:val="12"/>
                <w:szCs w:val="12"/>
                <w:color w:val="auto"/>
              </w:rPr>
              <w:t>Total</w:t>
            </w:r>
          </w:p>
        </w:tc>
        <w:tc>
          <w:tcPr>
            <w:tcW w:w="13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4,027</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4,490</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13,874</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13,440</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Option and Stock Appreciation Rights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summarizes stock option and stock appreciation rights (SAR) activities (unaudited):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vMerge w:val="restart"/>
          </w:tcPr>
          <w:p>
            <w:pPr>
              <w:jc w:val="right"/>
              <w:ind w:right="71"/>
              <w:spacing w:after="0"/>
              <w:rPr>
                <w:sz w:val="20"/>
                <w:szCs w:val="20"/>
                <w:color w:val="auto"/>
              </w:rPr>
            </w:pPr>
            <w:r>
              <w:rPr>
                <w:rFonts w:ascii="Arial" w:cs="Arial" w:eastAsia="Arial" w:hAnsi="Arial"/>
                <w:sz w:val="10"/>
                <w:szCs w:val="10"/>
                <w:b w:val="1"/>
                <w:bCs w:val="1"/>
                <w:color w:val="auto"/>
              </w:rPr>
              <w:t>Weighted-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right"/>
              <w:ind w:right="305"/>
              <w:spacing w:after="0"/>
              <w:rPr>
                <w:sz w:val="20"/>
                <w:szCs w:val="20"/>
                <w:color w:val="auto"/>
              </w:rPr>
            </w:pPr>
            <w:r>
              <w:rPr>
                <w:rFonts w:ascii="Arial" w:cs="Arial" w:eastAsia="Arial" w:hAnsi="Arial"/>
                <w:sz w:val="10"/>
                <w:szCs w:val="10"/>
                <w:b w:val="1"/>
                <w:bCs w:val="1"/>
                <w:color w:val="auto"/>
              </w:rPr>
              <w:t>Weighted-</w:t>
            </w:r>
          </w:p>
        </w:tc>
        <w:tc>
          <w:tcPr>
            <w:tcW w:w="0" w:type="dxa"/>
            <w:vAlign w:val="bottom"/>
          </w:tcPr>
          <w:p>
            <w:pPr>
              <w:spacing w:after="0"/>
              <w:rPr>
                <w:sz w:val="1"/>
                <w:szCs w:val="1"/>
                <w:color w:val="auto"/>
              </w:rPr>
            </w:pPr>
          </w:p>
        </w:tc>
      </w:tr>
      <w:tr>
        <w:trPr>
          <w:trHeight w:val="92"/>
        </w:trPr>
        <w:tc>
          <w:tcPr>
            <w:tcW w:w="4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2"/>
        </w:trPr>
        <w:tc>
          <w:tcPr>
            <w:tcW w:w="4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580" w:type="dxa"/>
            <w:vAlign w:val="bottom"/>
            <w:vMerge w:val="restart"/>
          </w:tcPr>
          <w:p>
            <w:pPr>
              <w:jc w:val="right"/>
              <w:ind w:right="287"/>
              <w:spacing w:after="0"/>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7"/>
                <w:szCs w:val="7"/>
                <w:color w:val="auto"/>
              </w:rPr>
            </w:pPr>
          </w:p>
        </w:tc>
        <w:tc>
          <w:tcPr>
            <w:tcW w:w="1540" w:type="dxa"/>
            <w:vAlign w:val="bottom"/>
          </w:tcPr>
          <w:p>
            <w:pPr>
              <w:jc w:val="center"/>
              <w:ind w:left="391"/>
              <w:spacing w:after="0" w:line="92" w:lineRule="exact"/>
              <w:rPr>
                <w:sz w:val="20"/>
                <w:szCs w:val="20"/>
                <w:color w:val="auto"/>
              </w:rPr>
            </w:pPr>
            <w:r>
              <w:rPr>
                <w:rFonts w:ascii="Arial" w:cs="Arial" w:eastAsia="Arial" w:hAnsi="Arial"/>
                <w:sz w:val="10"/>
                <w:szCs w:val="10"/>
                <w:b w:val="1"/>
                <w:bCs w:val="1"/>
                <w:color w:val="auto"/>
                <w:w w:val="86"/>
              </w:rPr>
              <w:t>Average</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89"/>
              </w:rPr>
              <w:t>Remaining</w:t>
            </w:r>
          </w:p>
        </w:tc>
        <w:tc>
          <w:tcPr>
            <w:tcW w:w="0" w:type="dxa"/>
            <w:vAlign w:val="bottom"/>
          </w:tcPr>
          <w:p>
            <w:pPr>
              <w:spacing w:after="0"/>
              <w:rPr>
                <w:sz w:val="1"/>
                <w:szCs w:val="1"/>
                <w:color w:val="auto"/>
              </w:rPr>
            </w:pPr>
          </w:p>
        </w:tc>
      </w:tr>
      <w:tr>
        <w:trPr>
          <w:trHeight w:val="92"/>
        </w:trPr>
        <w:tc>
          <w:tcPr>
            <w:tcW w:w="4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tcPr>
          <w:p>
            <w:pPr>
              <w:jc w:val="center"/>
              <w:ind w:left="391"/>
              <w:spacing w:after="0" w:line="92" w:lineRule="exact"/>
              <w:rPr>
                <w:sz w:val="20"/>
                <w:szCs w:val="20"/>
                <w:color w:val="auto"/>
              </w:rPr>
            </w:pPr>
            <w:r>
              <w:rPr>
                <w:rFonts w:ascii="Arial" w:cs="Arial" w:eastAsia="Arial" w:hAnsi="Arial"/>
                <w:sz w:val="10"/>
                <w:szCs w:val="10"/>
                <w:b w:val="1"/>
                <w:bCs w:val="1"/>
                <w:color w:val="auto"/>
                <w:w w:val="84"/>
              </w:rPr>
              <w:t>Exercise Price</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89"/>
              </w:rPr>
              <w:t>Contractual</w:t>
            </w:r>
          </w:p>
        </w:tc>
        <w:tc>
          <w:tcPr>
            <w:tcW w:w="0" w:type="dxa"/>
            <w:vAlign w:val="bottom"/>
          </w:tcPr>
          <w:p>
            <w:pPr>
              <w:spacing w:after="0"/>
              <w:rPr>
                <w:sz w:val="1"/>
                <w:szCs w:val="1"/>
                <w:color w:val="auto"/>
              </w:rPr>
            </w:pPr>
          </w:p>
        </w:tc>
      </w:tr>
      <w:tr>
        <w:trPr>
          <w:trHeight w:val="127"/>
        </w:trPr>
        <w:tc>
          <w:tcPr>
            <w:tcW w:w="4120" w:type="dxa"/>
            <w:vAlign w:val="bottom"/>
            <w:tcBorders>
              <w:bottom w:val="single" w:sz="8" w:color="CCEEFF"/>
            </w:tcBorders>
          </w:tcPr>
          <w:p>
            <w:pPr>
              <w:spacing w:after="0"/>
              <w:rPr>
                <w:sz w:val="11"/>
                <w:szCs w:val="11"/>
                <w:color w:val="auto"/>
              </w:rPr>
            </w:pPr>
          </w:p>
        </w:tc>
        <w:tc>
          <w:tcPr>
            <w:tcW w:w="184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right"/>
              <w:ind w:right="567"/>
              <w:spacing w:after="0"/>
              <w:rPr>
                <w:sz w:val="20"/>
                <w:szCs w:val="20"/>
                <w:color w:val="auto"/>
              </w:rPr>
            </w:pPr>
            <w:r>
              <w:rPr>
                <w:rFonts w:ascii="Arial" w:cs="Arial" w:eastAsia="Arial" w:hAnsi="Arial"/>
                <w:sz w:val="10"/>
                <w:szCs w:val="10"/>
                <w:b w:val="1"/>
                <w:bCs w:val="1"/>
                <w:color w:val="auto"/>
              </w:rPr>
              <w:t>Options</w:t>
            </w:r>
          </w:p>
        </w:tc>
        <w:tc>
          <w:tcPr>
            <w:tcW w:w="10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center"/>
              <w:ind w:left="391"/>
              <w:spacing w:after="0"/>
              <w:rPr>
                <w:sz w:val="20"/>
                <w:szCs w:val="20"/>
                <w:color w:val="auto"/>
              </w:rPr>
            </w:pPr>
            <w:r>
              <w:rPr>
                <w:rFonts w:ascii="Arial" w:cs="Arial" w:eastAsia="Arial" w:hAnsi="Arial"/>
                <w:sz w:val="10"/>
                <w:szCs w:val="10"/>
                <w:b w:val="1"/>
                <w:bCs w:val="1"/>
                <w:color w:val="auto"/>
                <w:w w:val="88"/>
              </w:rPr>
              <w:t>(per share)</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Term (in years)</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ind w:left="440"/>
              <w:spacing w:after="0" w:line="137" w:lineRule="exact"/>
              <w:rPr>
                <w:sz w:val="20"/>
                <w:szCs w:val="20"/>
                <w:color w:val="auto"/>
              </w:rPr>
            </w:pPr>
            <w:r>
              <w:rPr>
                <w:rFonts w:ascii="Arial" w:cs="Arial" w:eastAsia="Arial" w:hAnsi="Arial"/>
                <w:sz w:val="12"/>
                <w:szCs w:val="12"/>
                <w:color w:val="auto"/>
              </w:rPr>
              <w:t>Outstanding, December 31, 2020</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5,451,862</w:t>
            </w:r>
          </w:p>
        </w:tc>
        <w:tc>
          <w:tcPr>
            <w:tcW w:w="1640" w:type="dxa"/>
            <w:vAlign w:val="bottom"/>
            <w:gridSpan w:val="2"/>
            <w:shd w:val="clear" w:color="auto" w:fill="CCEEFF"/>
          </w:tcPr>
          <w:p>
            <w:pPr>
              <w:jc w:val="right"/>
              <w:ind w:right="991"/>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23.26</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w:t>
            </w:r>
          </w:p>
        </w:tc>
        <w:tc>
          <w:tcPr>
            <w:tcW w:w="0" w:type="dxa"/>
            <w:vAlign w:val="bottom"/>
          </w:tcPr>
          <w:p>
            <w:pPr>
              <w:spacing w:after="0"/>
              <w:rPr>
                <w:sz w:val="1"/>
                <w:szCs w:val="1"/>
                <w:color w:val="auto"/>
              </w:rPr>
            </w:pPr>
          </w:p>
        </w:tc>
      </w:tr>
      <w:tr>
        <w:trPr>
          <w:trHeight w:val="155"/>
        </w:trPr>
        <w:tc>
          <w:tcPr>
            <w:tcW w:w="4120" w:type="dxa"/>
            <w:vAlign w:val="bottom"/>
          </w:tcPr>
          <w:p>
            <w:pPr>
              <w:ind w:left="520"/>
              <w:spacing w:after="0"/>
              <w:rPr>
                <w:sz w:val="20"/>
                <w:szCs w:val="20"/>
                <w:color w:val="auto"/>
              </w:rPr>
            </w:pPr>
            <w:r>
              <w:rPr>
                <w:rFonts w:ascii="Arial" w:cs="Arial" w:eastAsia="Arial" w:hAnsi="Arial"/>
                <w:sz w:val="12"/>
                <w:szCs w:val="12"/>
                <w:color w:val="auto"/>
              </w:rPr>
              <w:t>Granted</w:t>
            </w:r>
          </w:p>
        </w:tc>
        <w:tc>
          <w:tcPr>
            <w:tcW w:w="3420" w:type="dxa"/>
            <w:vAlign w:val="bottom"/>
            <w:gridSpan w:val="2"/>
          </w:tcPr>
          <w:p>
            <w:pPr>
              <w:jc w:val="right"/>
              <w:spacing w:after="0"/>
              <w:rPr>
                <w:sz w:val="20"/>
                <w:szCs w:val="20"/>
                <w:color w:val="auto"/>
              </w:rPr>
            </w:pPr>
            <w:r>
              <w:rPr>
                <w:rFonts w:ascii="Arial" w:cs="Arial" w:eastAsia="Arial" w:hAnsi="Arial"/>
                <w:sz w:val="12"/>
                <w:szCs w:val="12"/>
                <w:color w:val="auto"/>
              </w:rPr>
              <w:t>991,325</w:t>
            </w:r>
          </w:p>
        </w:tc>
        <w:tc>
          <w:tcPr>
            <w:tcW w:w="1640" w:type="dxa"/>
            <w:vAlign w:val="bottom"/>
            <w:gridSpan w:val="2"/>
          </w:tcPr>
          <w:p>
            <w:pPr>
              <w:jc w:val="right"/>
              <w:ind w:right="991"/>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28.93</w:t>
            </w: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ind w:left="520"/>
              <w:spacing w:after="0"/>
              <w:rPr>
                <w:sz w:val="20"/>
                <w:szCs w:val="20"/>
                <w:color w:val="auto"/>
              </w:rPr>
            </w:pPr>
            <w:r>
              <w:rPr>
                <w:rFonts w:ascii="Arial" w:cs="Arial" w:eastAsia="Arial" w:hAnsi="Arial"/>
                <w:sz w:val="12"/>
                <w:szCs w:val="12"/>
                <w:color w:val="auto"/>
              </w:rPr>
              <w:t>Exercised</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(233,347)</w:t>
            </w:r>
          </w:p>
        </w:tc>
        <w:tc>
          <w:tcPr>
            <w:tcW w:w="1640" w:type="dxa"/>
            <w:vAlign w:val="bottom"/>
            <w:gridSpan w:val="2"/>
            <w:shd w:val="clear" w:color="auto" w:fill="CCEEFF"/>
          </w:tcPr>
          <w:p>
            <w:pPr>
              <w:jc w:val="right"/>
              <w:ind w:right="991"/>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18.82</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2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Forfeited</w:t>
            </w:r>
          </w:p>
        </w:tc>
        <w:tc>
          <w:tcPr>
            <w:tcW w:w="184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(410,488)</w:t>
            </w:r>
          </w:p>
        </w:tc>
        <w:tc>
          <w:tcPr>
            <w:tcW w:w="1640" w:type="dxa"/>
            <w:vAlign w:val="bottom"/>
            <w:tcBorders>
              <w:bottom w:val="single" w:sz="8" w:color="CCEEFF"/>
            </w:tcBorders>
            <w:gridSpan w:val="2"/>
          </w:tcPr>
          <w:p>
            <w:pPr>
              <w:jc w:val="right"/>
              <w:ind w:right="991"/>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27.43</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Outstanding, September 30, 2021 (unaudited)</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5,799,352</w:t>
            </w:r>
          </w:p>
        </w:tc>
        <w:tc>
          <w:tcPr>
            <w:tcW w:w="1640" w:type="dxa"/>
            <w:vAlign w:val="bottom"/>
            <w:gridSpan w:val="2"/>
            <w:shd w:val="clear" w:color="auto" w:fill="CCEEFF"/>
          </w:tcPr>
          <w:p>
            <w:pPr>
              <w:jc w:val="right"/>
              <w:ind w:right="991"/>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24.11</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w:t>
            </w:r>
          </w:p>
        </w:tc>
        <w:tc>
          <w:tcPr>
            <w:tcW w:w="0" w:type="dxa"/>
            <w:vAlign w:val="bottom"/>
          </w:tcPr>
          <w:p>
            <w:pPr>
              <w:spacing w:after="0"/>
              <w:rPr>
                <w:sz w:val="1"/>
                <w:szCs w:val="1"/>
                <w:color w:val="auto"/>
              </w:rPr>
            </w:pPr>
          </w:p>
        </w:tc>
      </w:tr>
      <w:tr>
        <w:trPr>
          <w:trHeight w:val="156"/>
        </w:trPr>
        <w:tc>
          <w:tcPr>
            <w:tcW w:w="4120" w:type="dxa"/>
            <w:vAlign w:val="bottom"/>
            <w:tcBorders>
              <w:top w:val="single" w:sz="8" w:color="CCEEFF"/>
            </w:tcBorders>
          </w:tcPr>
          <w:p>
            <w:pPr>
              <w:spacing w:after="0"/>
              <w:rPr>
                <w:sz w:val="13"/>
                <w:szCs w:val="13"/>
                <w:color w:val="auto"/>
              </w:rPr>
            </w:pPr>
          </w:p>
        </w:tc>
        <w:tc>
          <w:tcPr>
            <w:tcW w:w="1840" w:type="dxa"/>
            <w:vAlign w:val="bottom"/>
            <w:tcBorders>
              <w:top w:val="single" w:sz="8" w:color="CCEEFF"/>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5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As of September 30, 2021:</w:t>
            </w:r>
          </w:p>
        </w:tc>
        <w:tc>
          <w:tcPr>
            <w:tcW w:w="18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20" w:type="dxa"/>
            <w:vAlign w:val="bottom"/>
          </w:tcPr>
          <w:p>
            <w:pPr>
              <w:ind w:left="520"/>
              <w:spacing w:after="0"/>
              <w:rPr>
                <w:sz w:val="20"/>
                <w:szCs w:val="20"/>
                <w:color w:val="auto"/>
              </w:rPr>
            </w:pPr>
            <w:r>
              <w:rPr>
                <w:rFonts w:ascii="Arial" w:cs="Arial" w:eastAsia="Arial" w:hAnsi="Arial"/>
                <w:sz w:val="12"/>
                <w:szCs w:val="12"/>
                <w:color w:val="auto"/>
              </w:rPr>
              <w:t>Vested and expected to vest</w:t>
            </w:r>
          </w:p>
        </w:tc>
        <w:tc>
          <w:tcPr>
            <w:tcW w:w="3420" w:type="dxa"/>
            <w:vAlign w:val="bottom"/>
            <w:gridSpan w:val="2"/>
          </w:tcPr>
          <w:p>
            <w:pPr>
              <w:jc w:val="right"/>
              <w:spacing w:after="0"/>
              <w:rPr>
                <w:sz w:val="20"/>
                <w:szCs w:val="20"/>
                <w:color w:val="auto"/>
              </w:rPr>
            </w:pPr>
            <w:r>
              <w:rPr>
                <w:rFonts w:ascii="Arial" w:cs="Arial" w:eastAsia="Arial" w:hAnsi="Arial"/>
                <w:sz w:val="12"/>
                <w:szCs w:val="12"/>
                <w:color w:val="auto"/>
              </w:rPr>
              <w:t>5,799,352</w:t>
            </w:r>
          </w:p>
        </w:tc>
        <w:tc>
          <w:tcPr>
            <w:tcW w:w="1640" w:type="dxa"/>
            <w:vAlign w:val="bottom"/>
            <w:gridSpan w:val="2"/>
          </w:tcPr>
          <w:p>
            <w:pPr>
              <w:jc w:val="right"/>
              <w:ind w:right="991"/>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24.11</w:t>
            </w: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6.18</w:t>
            </w: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ind w:left="520"/>
              <w:spacing w:after="0"/>
              <w:rPr>
                <w:sz w:val="20"/>
                <w:szCs w:val="20"/>
                <w:color w:val="auto"/>
              </w:rPr>
            </w:pPr>
            <w:r>
              <w:rPr>
                <w:rFonts w:ascii="Arial" w:cs="Arial" w:eastAsia="Arial" w:hAnsi="Arial"/>
                <w:sz w:val="12"/>
                <w:szCs w:val="12"/>
                <w:color w:val="auto"/>
              </w:rPr>
              <w:t>Exercisable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3,679,177</w:t>
            </w:r>
          </w:p>
        </w:tc>
        <w:tc>
          <w:tcPr>
            <w:tcW w:w="1640" w:type="dxa"/>
            <w:vAlign w:val="bottom"/>
            <w:gridSpan w:val="2"/>
            <w:shd w:val="clear" w:color="auto" w:fill="CCEEFF"/>
          </w:tcPr>
          <w:p>
            <w:pPr>
              <w:jc w:val="right"/>
              <w:ind w:right="991"/>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21.23</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As of December 31, 2020:</w:t>
            </w:r>
          </w:p>
        </w:tc>
        <w:tc>
          <w:tcPr>
            <w:tcW w:w="18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20" w:type="dxa"/>
            <w:vAlign w:val="bottom"/>
          </w:tcPr>
          <w:p>
            <w:pPr>
              <w:ind w:left="520"/>
              <w:spacing w:after="0"/>
              <w:rPr>
                <w:sz w:val="20"/>
                <w:szCs w:val="20"/>
                <w:color w:val="auto"/>
              </w:rPr>
            </w:pPr>
            <w:r>
              <w:rPr>
                <w:rFonts w:ascii="Arial" w:cs="Arial" w:eastAsia="Arial" w:hAnsi="Arial"/>
                <w:sz w:val="12"/>
                <w:szCs w:val="12"/>
                <w:color w:val="auto"/>
              </w:rPr>
              <w:t>Vested and expected to vest</w:t>
            </w:r>
          </w:p>
        </w:tc>
        <w:tc>
          <w:tcPr>
            <w:tcW w:w="3420" w:type="dxa"/>
            <w:vAlign w:val="bottom"/>
            <w:gridSpan w:val="2"/>
          </w:tcPr>
          <w:p>
            <w:pPr>
              <w:jc w:val="right"/>
              <w:spacing w:after="0"/>
              <w:rPr>
                <w:sz w:val="20"/>
                <w:szCs w:val="20"/>
                <w:color w:val="auto"/>
              </w:rPr>
            </w:pPr>
            <w:r>
              <w:rPr>
                <w:rFonts w:ascii="Arial" w:cs="Arial" w:eastAsia="Arial" w:hAnsi="Arial"/>
                <w:sz w:val="12"/>
                <w:szCs w:val="12"/>
                <w:color w:val="auto"/>
              </w:rPr>
              <w:t>5,451,862</w:t>
            </w:r>
          </w:p>
        </w:tc>
        <w:tc>
          <w:tcPr>
            <w:tcW w:w="1640" w:type="dxa"/>
            <w:vAlign w:val="bottom"/>
            <w:gridSpan w:val="2"/>
          </w:tcPr>
          <w:p>
            <w:pPr>
              <w:jc w:val="right"/>
              <w:ind w:right="991"/>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23.26</w:t>
            </w: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6.28</w:t>
            </w: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ind w:left="520"/>
              <w:spacing w:after="0"/>
              <w:rPr>
                <w:sz w:val="20"/>
                <w:szCs w:val="20"/>
                <w:color w:val="auto"/>
              </w:rPr>
            </w:pPr>
            <w:r>
              <w:rPr>
                <w:rFonts w:ascii="Arial" w:cs="Arial" w:eastAsia="Arial" w:hAnsi="Arial"/>
                <w:sz w:val="12"/>
                <w:szCs w:val="12"/>
                <w:color w:val="auto"/>
              </w:rPr>
              <w:t>Exercisable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3,218,771</w:t>
            </w:r>
          </w:p>
        </w:tc>
        <w:tc>
          <w:tcPr>
            <w:tcW w:w="1640" w:type="dxa"/>
            <w:vAlign w:val="bottom"/>
            <w:gridSpan w:val="2"/>
            <w:shd w:val="clear" w:color="auto" w:fill="CCEEFF"/>
          </w:tcPr>
          <w:p>
            <w:pPr>
              <w:jc w:val="right"/>
              <w:ind w:right="991"/>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19.36</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w:t>
            </w:r>
          </w:p>
        </w:tc>
        <w:tc>
          <w:tcPr>
            <w:tcW w:w="0" w:type="dxa"/>
            <w:vAlign w:val="bottom"/>
          </w:tcPr>
          <w:p>
            <w:pPr>
              <w:spacing w:after="0"/>
              <w:rPr>
                <w:sz w:val="1"/>
                <w:szCs w:val="1"/>
                <w:color w:val="auto"/>
              </w:rPr>
            </w:pPr>
          </w:p>
        </w:tc>
      </w:tr>
      <w:tr>
        <w:trPr>
          <w:trHeight w:val="613"/>
        </w:trPr>
        <w:tc>
          <w:tcPr>
            <w:tcW w:w="4120" w:type="dxa"/>
            <w:vAlign w:val="bottom"/>
          </w:tcPr>
          <w:p>
            <w:pPr>
              <w:spacing w:after="0"/>
              <w:rPr>
                <w:sz w:val="24"/>
                <w:szCs w:val="24"/>
                <w:color w:val="auto"/>
              </w:rPr>
            </w:pPr>
          </w:p>
        </w:tc>
        <w:tc>
          <w:tcPr>
            <w:tcW w:w="1840" w:type="dxa"/>
            <w:vAlign w:val="bottom"/>
          </w:tcPr>
          <w:p>
            <w:pPr>
              <w:jc w:val="right"/>
              <w:ind w:right="199"/>
              <w:spacing w:after="0"/>
              <w:rPr>
                <w:sz w:val="20"/>
                <w:szCs w:val="20"/>
                <w:color w:val="auto"/>
              </w:rPr>
            </w:pPr>
            <w:r>
              <w:rPr>
                <w:rFonts w:ascii="Arial" w:cs="Arial" w:eastAsia="Arial" w:hAnsi="Arial"/>
                <w:sz w:val="12"/>
                <w:szCs w:val="12"/>
                <w:color w:val="auto"/>
              </w:rPr>
              <w:t>19</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120" w:type="dxa"/>
            <w:vAlign w:val="bottom"/>
            <w:tcBorders>
              <w:bottom w:val="single" w:sz="8" w:color="9A9A9A"/>
            </w:tcBorders>
          </w:tcPr>
          <w:p>
            <w:pPr>
              <w:spacing w:after="0"/>
              <w:rPr>
                <w:sz w:val="6"/>
                <w:szCs w:val="6"/>
                <w:color w:val="auto"/>
              </w:rPr>
            </w:pPr>
          </w:p>
        </w:tc>
        <w:tc>
          <w:tcPr>
            <w:tcW w:w="184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-23495</wp:posOffset>
            </wp:positionV>
            <wp:extent cx="311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9" w:name="page20"/>
    <w:bookmarkEnd w:id="19"/>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Restricted Stock Units</w:t>
      </w:r>
    </w:p>
    <w:p>
      <w:pPr>
        <w:spacing w:after="0" w:line="137"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table summarizes restricted stock unit (RSU) activities (unaudited):</w:t>
      </w:r>
    </w:p>
    <w:p>
      <w:pPr>
        <w:spacing w:after="0" w:line="131"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7980" w:type="dxa"/>
            <w:vAlign w:val="bottom"/>
          </w:tcPr>
          <w:p>
            <w:pPr>
              <w:spacing w:after="0"/>
              <w:rPr>
                <w:sz w:val="10"/>
                <w:szCs w:val="10"/>
                <w:color w:val="auto"/>
              </w:rPr>
            </w:pPr>
          </w:p>
        </w:tc>
        <w:tc>
          <w:tcPr>
            <w:tcW w:w="1120" w:type="dxa"/>
            <w:vAlign w:val="bottom"/>
          </w:tcPr>
          <w:p>
            <w:pPr>
              <w:jc w:val="center"/>
              <w:ind w:left="451"/>
              <w:spacing w:after="0"/>
              <w:rPr>
                <w:sz w:val="20"/>
                <w:szCs w:val="20"/>
                <w:color w:val="auto"/>
              </w:rPr>
            </w:pPr>
            <w:r>
              <w:rPr>
                <w:rFonts w:ascii="Arial" w:cs="Arial" w:eastAsia="Arial" w:hAnsi="Arial"/>
                <w:sz w:val="10"/>
                <w:szCs w:val="10"/>
                <w:b w:val="1"/>
                <w:bCs w:val="1"/>
                <w:color w:val="auto"/>
                <w:w w:val="91"/>
              </w:rPr>
              <w:t>Number of</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right"/>
              <w:ind w:right="382"/>
              <w:spacing w:after="0"/>
              <w:rPr>
                <w:sz w:val="20"/>
                <w:szCs w:val="20"/>
                <w:color w:val="auto"/>
              </w:rPr>
            </w:pPr>
            <w:r>
              <w:rPr>
                <w:rFonts w:ascii="Arial" w:cs="Arial" w:eastAsia="Arial" w:hAnsi="Arial"/>
                <w:sz w:val="10"/>
                <w:szCs w:val="10"/>
                <w:b w:val="1"/>
                <w:bCs w:val="1"/>
                <w:color w:val="auto"/>
              </w:rPr>
              <w:t>Weighted-Average</w:t>
            </w:r>
          </w:p>
        </w:tc>
      </w:tr>
      <w:tr>
        <w:trPr>
          <w:trHeight w:val="127"/>
        </w:trPr>
        <w:tc>
          <w:tcPr>
            <w:tcW w:w="79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center"/>
              <w:ind w:left="451"/>
              <w:spacing w:after="0"/>
              <w:rPr>
                <w:sz w:val="20"/>
                <w:szCs w:val="20"/>
                <w:color w:val="auto"/>
              </w:rPr>
            </w:pPr>
            <w:r>
              <w:rPr>
                <w:rFonts w:ascii="Arial" w:cs="Arial" w:eastAsia="Arial" w:hAnsi="Arial"/>
                <w:sz w:val="10"/>
                <w:szCs w:val="10"/>
                <w:b w:val="1"/>
                <w:bCs w:val="1"/>
                <w:color w:val="auto"/>
                <w:w w:val="82"/>
              </w:rPr>
              <w:t>RSUs</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90"/>
              </w:rPr>
              <w:t>Grant Date Fair Value per Share</w:t>
            </w:r>
          </w:p>
        </w:tc>
      </w:tr>
      <w:tr>
        <w:trPr>
          <w:trHeight w:val="146"/>
        </w:trPr>
        <w:tc>
          <w:tcPr>
            <w:tcW w:w="79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Nonvested, December 31, 2020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26,055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23.99</w:t>
            </w:r>
          </w:p>
        </w:tc>
      </w:tr>
      <w:tr>
        <w:trPr>
          <w:trHeight w:val="155"/>
        </w:trPr>
        <w:tc>
          <w:tcPr>
            <w:tcW w:w="9100" w:type="dxa"/>
            <w:vAlign w:val="bottom"/>
            <w:gridSpan w:val="2"/>
          </w:tcPr>
          <w:p>
            <w:pPr>
              <w:ind w:left="80"/>
              <w:spacing w:after="0"/>
              <w:rPr>
                <w:sz w:val="20"/>
                <w:szCs w:val="20"/>
                <w:color w:val="auto"/>
              </w:rPr>
            </w:pPr>
            <w:r>
              <w:rPr>
                <w:rFonts w:ascii="Arial" w:cs="Arial" w:eastAsia="Arial" w:hAnsi="Arial"/>
                <w:sz w:val="12"/>
                <w:szCs w:val="12"/>
                <w:color w:val="auto"/>
              </w:rPr>
              <w:t>Granted</w:t>
            </w:r>
          </w:p>
        </w:tc>
        <w:tc>
          <w:tcPr>
            <w:tcW w:w="500" w:type="dxa"/>
            <w:vAlign w:val="bottom"/>
          </w:tcPr>
          <w:p>
            <w:pPr>
              <w:jc w:val="right"/>
              <w:spacing w:after="0"/>
              <w:rPr>
                <w:sz w:val="20"/>
                <w:szCs w:val="20"/>
                <w:color w:val="auto"/>
              </w:rPr>
            </w:pPr>
            <w:r>
              <w:rPr>
                <w:rFonts w:ascii="Arial" w:cs="Arial" w:eastAsia="Arial" w:hAnsi="Arial"/>
                <w:sz w:val="12"/>
                <w:szCs w:val="12"/>
                <w:color w:val="auto"/>
              </w:rPr>
              <w:t>21,110</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2"/>
              <w:spacing w:after="0"/>
              <w:rPr>
                <w:sz w:val="20"/>
                <w:szCs w:val="20"/>
                <w:color w:val="auto"/>
              </w:rPr>
            </w:pPr>
            <w:r>
              <w:rPr>
                <w:rFonts w:ascii="Arial" w:cs="Arial" w:eastAsia="Arial" w:hAnsi="Arial"/>
                <w:sz w:val="12"/>
                <w:szCs w:val="12"/>
                <w:color w:val="auto"/>
              </w:rPr>
              <w:t>29.61</w:t>
            </w:r>
          </w:p>
        </w:tc>
      </w:tr>
      <w:tr>
        <w:trPr>
          <w:trHeight w:val="156"/>
        </w:trPr>
        <w:tc>
          <w:tcPr>
            <w:tcW w:w="9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(26,055)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23.99</w:t>
            </w:r>
          </w:p>
        </w:tc>
      </w:tr>
      <w:tr>
        <w:trPr>
          <w:trHeight w:val="155"/>
        </w:trPr>
        <w:tc>
          <w:tcPr>
            <w:tcW w:w="9100" w:type="dxa"/>
            <w:vAlign w:val="bottom"/>
            <w:gridSpan w:val="2"/>
          </w:tcPr>
          <w:p>
            <w:pPr>
              <w:ind w:left="80"/>
              <w:spacing w:after="0"/>
              <w:rPr>
                <w:sz w:val="20"/>
                <w:szCs w:val="20"/>
                <w:color w:val="auto"/>
              </w:rPr>
            </w:pPr>
            <w:r>
              <w:rPr>
                <w:rFonts w:ascii="Arial" w:cs="Arial" w:eastAsia="Arial" w:hAnsi="Arial"/>
                <w:sz w:val="12"/>
                <w:szCs w:val="12"/>
                <w:color w:val="auto"/>
              </w:rPr>
              <w:t>Forfeited</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62"/>
        </w:trPr>
        <w:tc>
          <w:tcPr>
            <w:tcW w:w="7980" w:type="dxa"/>
            <w:vAlign w:val="bottom"/>
            <w:tcBorders>
              <w:top w:val="single" w:sz="8" w:color="CCEEFF"/>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Nonvested, September 30, 2021</w:t>
            </w:r>
          </w:p>
        </w:tc>
        <w:tc>
          <w:tcPr>
            <w:tcW w:w="112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21,110</w:t>
            </w: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2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29.61</w:t>
            </w:r>
          </w:p>
        </w:tc>
      </w:tr>
    </w:tbl>
    <w:p>
      <w:pPr>
        <w:spacing w:after="0" w:line="17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Performance Share Units</w:t>
      </w:r>
    </w:p>
    <w:p>
      <w:pPr>
        <w:spacing w:after="0" w:line="173"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table summarizes performance share unit (PSU) activities (unaudited):</w:t>
      </w:r>
    </w:p>
    <w:p>
      <w:pPr>
        <w:spacing w:after="0" w:line="195" w:lineRule="exact"/>
        <w:rPr>
          <w:sz w:val="20"/>
          <w:szCs w:val="20"/>
          <w:color w:val="auto"/>
        </w:rPr>
      </w:pPr>
    </w:p>
    <w:tbl>
      <w:tblPr>
        <w:tblLayout w:type="fixed"/>
        <w:tblInd w:w="7" w:type="dxa"/>
        <w:tblCellMar>
          <w:top w:w="0" w:type="dxa"/>
          <w:left w:w="0" w:type="dxa"/>
          <w:bottom w:w="0" w:type="dxa"/>
          <w:right w:w="0" w:type="dxa"/>
        </w:tblCellMar>
      </w:tblPr>
      <w:tr>
        <w:trPr>
          <w:trHeight w:val="129"/>
        </w:trPr>
        <w:tc>
          <w:tcPr>
            <w:tcW w:w="2960" w:type="dxa"/>
            <w:vAlign w:val="bottom"/>
          </w:tcPr>
          <w:p>
            <w:pPr>
              <w:spacing w:after="0"/>
              <w:rPr>
                <w:sz w:val="11"/>
                <w:szCs w:val="11"/>
                <w:color w:val="auto"/>
              </w:rPr>
            </w:pPr>
          </w:p>
        </w:tc>
        <w:tc>
          <w:tcPr>
            <w:tcW w:w="2800" w:type="dxa"/>
            <w:vAlign w:val="bottom"/>
            <w:gridSpan w:val="5"/>
          </w:tcPr>
          <w:p>
            <w:pPr>
              <w:ind w:left="820"/>
              <w:spacing w:after="0"/>
              <w:rPr>
                <w:sz w:val="20"/>
                <w:szCs w:val="20"/>
                <w:color w:val="auto"/>
              </w:rPr>
            </w:pPr>
            <w:r>
              <w:rPr>
                <w:rFonts w:ascii="Arial" w:cs="Arial" w:eastAsia="Arial" w:hAnsi="Arial"/>
                <w:sz w:val="10"/>
                <w:szCs w:val="10"/>
                <w:b w:val="1"/>
                <w:bCs w:val="1"/>
                <w:color w:val="auto"/>
              </w:rPr>
              <w:t>Performance-Based Units</w:t>
            </w:r>
          </w:p>
        </w:tc>
        <w:tc>
          <w:tcPr>
            <w:tcW w:w="2800" w:type="dxa"/>
            <w:vAlign w:val="bottom"/>
            <w:gridSpan w:val="5"/>
          </w:tcPr>
          <w:p>
            <w:pPr>
              <w:ind w:left="940"/>
              <w:spacing w:after="0"/>
              <w:rPr>
                <w:sz w:val="20"/>
                <w:szCs w:val="20"/>
                <w:color w:val="auto"/>
              </w:rPr>
            </w:pPr>
            <w:r>
              <w:rPr>
                <w:rFonts w:ascii="Arial" w:cs="Arial" w:eastAsia="Arial" w:hAnsi="Arial"/>
                <w:sz w:val="10"/>
                <w:szCs w:val="10"/>
                <w:b w:val="1"/>
                <w:bCs w:val="1"/>
                <w:color w:val="auto"/>
              </w:rPr>
              <w:t>Market-Based Units</w:t>
            </w:r>
          </w:p>
        </w:tc>
        <w:tc>
          <w:tcPr>
            <w:tcW w:w="2740" w:type="dxa"/>
            <w:vAlign w:val="bottom"/>
            <w:gridSpan w:val="4"/>
          </w:tcPr>
          <w:p>
            <w:pPr>
              <w:jc w:val="right"/>
              <w:ind w:right="1085"/>
              <w:spacing w:after="0"/>
              <w:rPr>
                <w:sz w:val="20"/>
                <w:szCs w:val="20"/>
                <w:color w:val="auto"/>
              </w:rPr>
            </w:pPr>
            <w:r>
              <w:rPr>
                <w:rFonts w:ascii="Arial" w:cs="Arial" w:eastAsia="Arial" w:hAnsi="Arial"/>
                <w:sz w:val="10"/>
                <w:szCs w:val="10"/>
                <w:b w:val="1"/>
                <w:bCs w:val="1"/>
                <w:color w:val="auto"/>
              </w:rPr>
              <w:t>Total PSUs</w:t>
            </w:r>
          </w:p>
        </w:tc>
        <w:tc>
          <w:tcPr>
            <w:tcW w:w="0" w:type="dxa"/>
            <w:vAlign w:val="bottom"/>
          </w:tcPr>
          <w:p>
            <w:pPr>
              <w:spacing w:after="0"/>
              <w:rPr>
                <w:sz w:val="1"/>
                <w:szCs w:val="1"/>
                <w:color w:val="auto"/>
              </w:rPr>
            </w:pPr>
          </w:p>
        </w:tc>
      </w:tr>
      <w:tr>
        <w:trPr>
          <w:trHeight w:val="85"/>
        </w:trPr>
        <w:tc>
          <w:tcPr>
            <w:tcW w:w="296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jc w:val="center"/>
              <w:ind w:right="45"/>
              <w:spacing w:after="0" w:line="85" w:lineRule="exact"/>
              <w:rPr>
                <w:sz w:val="20"/>
                <w:szCs w:val="20"/>
                <w:color w:val="auto"/>
              </w:rPr>
            </w:pPr>
            <w:r>
              <w:rPr>
                <w:rFonts w:ascii="Arial" w:cs="Arial" w:eastAsia="Arial" w:hAnsi="Arial"/>
                <w:sz w:val="9"/>
                <w:szCs w:val="9"/>
                <w:b w:val="1"/>
                <w:bCs w:val="1"/>
                <w:color w:val="auto"/>
              </w:rPr>
              <w:t>Weighted-</w:t>
            </w:r>
          </w:p>
        </w:tc>
        <w:tc>
          <w:tcPr>
            <w:tcW w:w="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jc w:val="center"/>
              <w:ind w:right="45"/>
              <w:spacing w:after="0" w:line="85" w:lineRule="exact"/>
              <w:rPr>
                <w:sz w:val="20"/>
                <w:szCs w:val="20"/>
                <w:color w:val="auto"/>
              </w:rPr>
            </w:pPr>
            <w:r>
              <w:rPr>
                <w:rFonts w:ascii="Arial" w:cs="Arial" w:eastAsia="Arial" w:hAnsi="Arial"/>
                <w:sz w:val="9"/>
                <w:szCs w:val="9"/>
                <w:b w:val="1"/>
                <w:bCs w:val="1"/>
                <w:color w:val="auto"/>
              </w:rPr>
              <w:t>Weighted-</w:t>
            </w:r>
          </w:p>
        </w:tc>
        <w:tc>
          <w:tcPr>
            <w:tcW w:w="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jc w:val="center"/>
              <w:ind w:right="45"/>
              <w:spacing w:after="0" w:line="85" w:lineRule="exact"/>
              <w:rPr>
                <w:sz w:val="20"/>
                <w:szCs w:val="20"/>
                <w:color w:val="auto"/>
              </w:rPr>
            </w:pPr>
            <w:r>
              <w:rPr>
                <w:rFonts w:ascii="Arial" w:cs="Arial" w:eastAsia="Arial" w:hAnsi="Arial"/>
                <w:sz w:val="9"/>
                <w:szCs w:val="9"/>
                <w:b w:val="1"/>
                <w:bCs w:val="1"/>
                <w:color w:val="auto"/>
                <w:w w:val="96"/>
              </w:rPr>
              <w:t>Weighted-</w:t>
            </w:r>
          </w:p>
        </w:tc>
        <w:tc>
          <w:tcPr>
            <w:tcW w:w="0" w:type="dxa"/>
            <w:vAlign w:val="bottom"/>
          </w:tcPr>
          <w:p>
            <w:pPr>
              <w:spacing w:after="0"/>
              <w:rPr>
                <w:sz w:val="1"/>
                <w:szCs w:val="1"/>
                <w:color w:val="auto"/>
              </w:rPr>
            </w:pPr>
          </w:p>
        </w:tc>
      </w:tr>
      <w:tr>
        <w:trPr>
          <w:trHeight w:val="92"/>
        </w:trPr>
        <w:tc>
          <w:tcPr>
            <w:tcW w:w="29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tcPr>
          <w:p>
            <w:pPr>
              <w:jc w:val="center"/>
              <w:ind w:right="160"/>
              <w:spacing w:after="0" w:line="92" w:lineRule="exact"/>
              <w:rPr>
                <w:sz w:val="20"/>
                <w:szCs w:val="20"/>
                <w:color w:val="auto"/>
              </w:rPr>
            </w:pPr>
            <w:r>
              <w:rPr>
                <w:rFonts w:ascii="Arial" w:cs="Arial" w:eastAsia="Arial" w:hAnsi="Arial"/>
                <w:sz w:val="10"/>
                <w:szCs w:val="10"/>
                <w:b w:val="1"/>
                <w:bCs w:val="1"/>
                <w:color w:val="auto"/>
                <w:w w:val="86"/>
              </w:rPr>
              <w:t>Average</w:t>
            </w: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tcPr>
          <w:p>
            <w:pPr>
              <w:jc w:val="center"/>
              <w:ind w:right="160"/>
              <w:spacing w:after="0" w:line="92" w:lineRule="exact"/>
              <w:rPr>
                <w:sz w:val="20"/>
                <w:szCs w:val="20"/>
                <w:color w:val="auto"/>
              </w:rPr>
            </w:pPr>
            <w:r>
              <w:rPr>
                <w:rFonts w:ascii="Arial" w:cs="Arial" w:eastAsia="Arial" w:hAnsi="Arial"/>
                <w:sz w:val="10"/>
                <w:szCs w:val="10"/>
                <w:b w:val="1"/>
                <w:bCs w:val="1"/>
                <w:color w:val="auto"/>
                <w:w w:val="86"/>
              </w:rPr>
              <w:t>Average</w:t>
            </w: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jc w:val="center"/>
              <w:ind w:right="45"/>
              <w:spacing w:after="0" w:line="92"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2"/>
        </w:trPr>
        <w:tc>
          <w:tcPr>
            <w:tcW w:w="2960" w:type="dxa"/>
            <w:vAlign w:val="bottom"/>
          </w:tcPr>
          <w:p>
            <w:pPr>
              <w:spacing w:after="0"/>
              <w:rPr>
                <w:sz w:val="7"/>
                <w:szCs w:val="7"/>
                <w:color w:val="auto"/>
              </w:rPr>
            </w:pPr>
          </w:p>
        </w:tc>
        <w:tc>
          <w:tcPr>
            <w:tcW w:w="1320" w:type="dxa"/>
            <w:vAlign w:val="bottom"/>
            <w:vMerge w:val="restart"/>
          </w:tcPr>
          <w:p>
            <w:pPr>
              <w:jc w:val="right"/>
              <w:ind w:right="242"/>
              <w:spacing w:after="0"/>
              <w:rPr>
                <w:sz w:val="20"/>
                <w:szCs w:val="20"/>
                <w:color w:val="auto"/>
              </w:rPr>
            </w:pPr>
            <w:r>
              <w:rPr>
                <w:rFonts w:ascii="Arial" w:cs="Arial" w:eastAsia="Arial" w:hAnsi="Arial"/>
                <w:sz w:val="10"/>
                <w:szCs w:val="10"/>
                <w:b w:val="1"/>
                <w:bCs w:val="1"/>
                <w:color w:val="auto"/>
              </w:rPr>
              <w:t>Number of PSUs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tcPr>
          <w:p>
            <w:pPr>
              <w:jc w:val="center"/>
              <w:ind w:right="160"/>
              <w:spacing w:after="0" w:line="92" w:lineRule="exact"/>
              <w:rPr>
                <w:sz w:val="20"/>
                <w:szCs w:val="20"/>
                <w:color w:val="auto"/>
              </w:rPr>
            </w:pPr>
            <w:r>
              <w:rPr>
                <w:rFonts w:ascii="Arial" w:cs="Arial" w:eastAsia="Arial" w:hAnsi="Arial"/>
                <w:sz w:val="10"/>
                <w:szCs w:val="10"/>
                <w:b w:val="1"/>
                <w:bCs w:val="1"/>
                <w:color w:val="auto"/>
                <w:w w:val="91"/>
              </w:rPr>
              <w:t>Grant Date Fair Value per</w:t>
            </w:r>
          </w:p>
        </w:tc>
        <w:tc>
          <w:tcPr>
            <w:tcW w:w="1320" w:type="dxa"/>
            <w:vAlign w:val="bottom"/>
            <w:vMerge w:val="restart"/>
          </w:tcPr>
          <w:p>
            <w:pPr>
              <w:ind w:left="320"/>
              <w:spacing w:after="0"/>
              <w:rPr>
                <w:sz w:val="20"/>
                <w:szCs w:val="20"/>
                <w:color w:val="auto"/>
              </w:rPr>
            </w:pPr>
            <w:r>
              <w:rPr>
                <w:rFonts w:ascii="Arial" w:cs="Arial" w:eastAsia="Arial" w:hAnsi="Arial"/>
                <w:sz w:val="10"/>
                <w:szCs w:val="10"/>
                <w:b w:val="1"/>
                <w:bCs w:val="1"/>
                <w:color w:val="auto"/>
              </w:rPr>
              <w:t>Number of PSUs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tcPr>
          <w:p>
            <w:pPr>
              <w:jc w:val="center"/>
              <w:ind w:right="160"/>
              <w:spacing w:after="0" w:line="92" w:lineRule="exact"/>
              <w:rPr>
                <w:sz w:val="20"/>
                <w:szCs w:val="20"/>
                <w:color w:val="auto"/>
              </w:rPr>
            </w:pPr>
            <w:r>
              <w:rPr>
                <w:rFonts w:ascii="Arial" w:cs="Arial" w:eastAsia="Arial" w:hAnsi="Arial"/>
                <w:sz w:val="10"/>
                <w:szCs w:val="10"/>
                <w:b w:val="1"/>
                <w:bCs w:val="1"/>
                <w:color w:val="auto"/>
                <w:w w:val="91"/>
              </w:rPr>
              <w:t>Grant Date Fair Value per</w:t>
            </w:r>
          </w:p>
        </w:tc>
        <w:tc>
          <w:tcPr>
            <w:tcW w:w="1320" w:type="dxa"/>
            <w:vAlign w:val="bottom"/>
            <w:vMerge w:val="restart"/>
          </w:tcPr>
          <w:p>
            <w:pPr>
              <w:jc w:val="right"/>
              <w:ind w:right="242"/>
              <w:spacing w:after="0"/>
              <w:rPr>
                <w:sz w:val="20"/>
                <w:szCs w:val="20"/>
                <w:color w:val="auto"/>
              </w:rPr>
            </w:pPr>
            <w:r>
              <w:rPr>
                <w:rFonts w:ascii="Arial" w:cs="Arial" w:eastAsia="Arial" w:hAnsi="Arial"/>
                <w:sz w:val="10"/>
                <w:szCs w:val="10"/>
                <w:b w:val="1"/>
                <w:bCs w:val="1"/>
                <w:color w:val="auto"/>
              </w:rPr>
              <w:t>Number of PSUs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jc w:val="center"/>
              <w:ind w:right="45"/>
              <w:spacing w:after="0" w:line="92" w:lineRule="exact"/>
              <w:rPr>
                <w:sz w:val="20"/>
                <w:szCs w:val="20"/>
                <w:color w:val="auto"/>
              </w:rPr>
            </w:pPr>
            <w:r>
              <w:rPr>
                <w:rFonts w:ascii="Arial" w:cs="Arial" w:eastAsia="Arial" w:hAnsi="Arial"/>
                <w:sz w:val="10"/>
                <w:szCs w:val="10"/>
                <w:b w:val="1"/>
                <w:bCs w:val="1"/>
                <w:color w:val="auto"/>
                <w:w w:val="91"/>
              </w:rPr>
              <w:t>Grant Date Fair Value per</w:t>
            </w:r>
          </w:p>
        </w:tc>
        <w:tc>
          <w:tcPr>
            <w:tcW w:w="0" w:type="dxa"/>
            <w:vAlign w:val="bottom"/>
          </w:tcPr>
          <w:p>
            <w:pPr>
              <w:spacing w:after="0"/>
              <w:rPr>
                <w:sz w:val="1"/>
                <w:szCs w:val="1"/>
                <w:color w:val="auto"/>
              </w:rPr>
            </w:pPr>
          </w:p>
        </w:tc>
      </w:tr>
      <w:tr>
        <w:trPr>
          <w:trHeight w:val="127"/>
        </w:trPr>
        <w:tc>
          <w:tcPr>
            <w:tcW w:w="296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86"/>
              </w:rPr>
              <w:t>Share</w:t>
            </w:r>
          </w:p>
        </w:tc>
        <w:tc>
          <w:tcPr>
            <w:tcW w:w="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86"/>
              </w:rPr>
              <w:t>Share</w:t>
            </w:r>
          </w:p>
        </w:tc>
        <w:tc>
          <w:tcPr>
            <w:tcW w:w="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65"/>
              <w:spacing w:after="0"/>
              <w:rPr>
                <w:sz w:val="20"/>
                <w:szCs w:val="20"/>
                <w:color w:val="auto"/>
              </w:rPr>
            </w:pPr>
            <w:r>
              <w:rPr>
                <w:rFonts w:ascii="Arial" w:cs="Arial" w:eastAsia="Arial" w:hAnsi="Arial"/>
                <w:sz w:val="10"/>
                <w:szCs w:val="10"/>
                <w:b w:val="1"/>
                <w:bCs w:val="1"/>
                <w:color w:val="auto"/>
                <w:w w:val="86"/>
              </w:rPr>
              <w:t>Share</w:t>
            </w:r>
          </w:p>
        </w:tc>
        <w:tc>
          <w:tcPr>
            <w:tcW w:w="0" w:type="dxa"/>
            <w:vAlign w:val="bottom"/>
          </w:tcPr>
          <w:p>
            <w:pPr>
              <w:spacing w:after="0"/>
              <w:rPr>
                <w:sz w:val="1"/>
                <w:szCs w:val="1"/>
                <w:color w:val="auto"/>
              </w:rPr>
            </w:pPr>
          </w:p>
        </w:tc>
      </w:tr>
      <w:tr>
        <w:trPr>
          <w:trHeight w:val="146"/>
        </w:trPr>
        <w:tc>
          <w:tcPr>
            <w:tcW w:w="29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Nonvested,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ind w:left="940"/>
              <w:spacing w:after="0"/>
              <w:rPr>
                <w:sz w:val="20"/>
                <w:szCs w:val="20"/>
                <w:color w:val="auto"/>
              </w:rPr>
            </w:pPr>
            <w:r>
              <w:rPr>
                <w:rFonts w:ascii="Arial" w:cs="Arial" w:eastAsia="Arial" w:hAnsi="Arial"/>
                <w:sz w:val="12"/>
                <w:szCs w:val="12"/>
                <w:color w:val="auto"/>
                <w:w w:val="97"/>
              </w:rPr>
              <w:t>15,625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23.41</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23.41</w:t>
            </w:r>
          </w:p>
        </w:tc>
        <w:tc>
          <w:tcPr>
            <w:tcW w:w="0" w:type="dxa"/>
            <w:vAlign w:val="bottom"/>
          </w:tcPr>
          <w:p>
            <w:pPr>
              <w:spacing w:after="0"/>
              <w:rPr>
                <w:sz w:val="1"/>
                <w:szCs w:val="1"/>
                <w:color w:val="auto"/>
              </w:rPr>
            </w:pPr>
          </w:p>
        </w:tc>
      </w:tr>
      <w:tr>
        <w:trPr>
          <w:trHeight w:val="155"/>
        </w:trPr>
        <w:tc>
          <w:tcPr>
            <w:tcW w:w="2960" w:type="dxa"/>
            <w:vAlign w:val="bottom"/>
          </w:tcPr>
          <w:p>
            <w:pPr>
              <w:ind w:left="80"/>
              <w:spacing w:after="0"/>
              <w:rPr>
                <w:sz w:val="20"/>
                <w:szCs w:val="20"/>
                <w:color w:val="auto"/>
              </w:rPr>
            </w:pPr>
            <w:r>
              <w:rPr>
                <w:rFonts w:ascii="Arial" w:cs="Arial" w:eastAsia="Arial" w:hAnsi="Arial"/>
                <w:sz w:val="12"/>
                <w:szCs w:val="12"/>
                <w:color w:val="auto"/>
              </w:rPr>
              <w:t>Granted</w:t>
            </w:r>
          </w:p>
        </w:tc>
        <w:tc>
          <w:tcPr>
            <w:tcW w:w="1320" w:type="dxa"/>
            <w:vAlign w:val="bottom"/>
          </w:tcPr>
          <w:p>
            <w:pPr>
              <w:jc w:val="right"/>
              <w:spacing w:after="0"/>
              <w:rPr>
                <w:sz w:val="20"/>
                <w:szCs w:val="20"/>
                <w:color w:val="auto"/>
              </w:rPr>
            </w:pPr>
            <w:r>
              <w:rPr>
                <w:rFonts w:ascii="Arial" w:cs="Arial" w:eastAsia="Arial" w:hAnsi="Arial"/>
                <w:sz w:val="12"/>
                <w:szCs w:val="12"/>
                <w:color w:val="auto"/>
              </w:rPr>
              <w:t>95,000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29.74</w:t>
            </w:r>
          </w:p>
        </w:tc>
        <w:tc>
          <w:tcPr>
            <w:tcW w:w="80" w:type="dxa"/>
            <w:vAlign w:val="bottom"/>
          </w:tcPr>
          <w:p>
            <w:pPr>
              <w:spacing w:after="0"/>
              <w:rPr>
                <w:sz w:val="13"/>
                <w:szCs w:val="13"/>
                <w:color w:val="auto"/>
              </w:rPr>
            </w:pPr>
          </w:p>
        </w:tc>
        <w:tc>
          <w:tcPr>
            <w:tcW w:w="1320" w:type="dxa"/>
            <w:vAlign w:val="bottom"/>
          </w:tcPr>
          <w:p>
            <w:pPr>
              <w:ind w:left="940"/>
              <w:spacing w:after="0"/>
              <w:rPr>
                <w:sz w:val="20"/>
                <w:szCs w:val="20"/>
                <w:color w:val="auto"/>
              </w:rPr>
            </w:pPr>
            <w:r>
              <w:rPr>
                <w:rFonts w:ascii="Arial" w:cs="Arial" w:eastAsia="Arial" w:hAnsi="Arial"/>
                <w:sz w:val="12"/>
                <w:szCs w:val="12"/>
                <w:color w:val="auto"/>
                <w:w w:val="97"/>
              </w:rPr>
              <w:t>20,000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28.63</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115,000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5"/>
              <w:spacing w:after="0"/>
              <w:rPr>
                <w:sz w:val="20"/>
                <w:szCs w:val="20"/>
                <w:color w:val="auto"/>
              </w:rPr>
            </w:pPr>
            <w:r>
              <w:rPr>
                <w:rFonts w:ascii="Arial" w:cs="Arial" w:eastAsia="Arial" w:hAnsi="Arial"/>
                <w:sz w:val="12"/>
                <w:szCs w:val="12"/>
                <w:color w:val="auto"/>
              </w:rPr>
              <w:t>29.55</w:t>
            </w:r>
          </w:p>
        </w:tc>
        <w:tc>
          <w:tcPr>
            <w:tcW w:w="0" w:type="dxa"/>
            <w:vAlign w:val="bottom"/>
          </w:tcPr>
          <w:p>
            <w:pPr>
              <w:spacing w:after="0"/>
              <w:rPr>
                <w:sz w:val="1"/>
                <w:szCs w:val="1"/>
                <w:color w:val="auto"/>
              </w:rPr>
            </w:pPr>
          </w:p>
        </w:tc>
      </w:tr>
      <w:tr>
        <w:trPr>
          <w:trHeight w:val="156"/>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29.61</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110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29.61</w:t>
            </w:r>
          </w:p>
        </w:tc>
        <w:tc>
          <w:tcPr>
            <w:tcW w:w="0" w:type="dxa"/>
            <w:vAlign w:val="bottom"/>
          </w:tcPr>
          <w:p>
            <w:pPr>
              <w:spacing w:after="0"/>
              <w:rPr>
                <w:sz w:val="1"/>
                <w:szCs w:val="1"/>
                <w:color w:val="auto"/>
              </w:rPr>
            </w:pPr>
          </w:p>
        </w:tc>
      </w:tr>
      <w:tr>
        <w:trPr>
          <w:trHeight w:val="155"/>
        </w:trPr>
        <w:tc>
          <w:tcPr>
            <w:tcW w:w="29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30.45</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gridSpan w:val="2"/>
          </w:tcPr>
          <w:p>
            <w:pPr>
              <w:ind w:left="110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w:t>
            </w: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tcPr>
          <w:p>
            <w:pPr>
              <w:jc w:val="right"/>
              <w:ind w:right="5"/>
              <w:spacing w:after="0"/>
              <w:rPr>
                <w:sz w:val="20"/>
                <w:szCs w:val="20"/>
                <w:color w:val="auto"/>
              </w:rPr>
            </w:pPr>
            <w:r>
              <w:rPr>
                <w:rFonts w:ascii="Arial" w:cs="Arial" w:eastAsia="Arial" w:hAnsi="Arial"/>
                <w:sz w:val="12"/>
                <w:szCs w:val="12"/>
                <w:color w:val="auto"/>
              </w:rPr>
              <w:t>30.45</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Nonvested, September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29.82</w:t>
            </w: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35,625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26.34</w:t>
            </w: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89,125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2"/>
                <w:szCs w:val="12"/>
                <w:color w:val="auto"/>
              </w:rPr>
              <w:t>28.43</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7" w:hanging="267"/>
        <w:spacing w:after="0"/>
        <w:tabs>
          <w:tab w:leader="none" w:pos="267"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131" w:lineRule="exact"/>
        <w:rPr>
          <w:sz w:val="20"/>
          <w:szCs w:val="20"/>
          <w:color w:val="auto"/>
        </w:rPr>
      </w:pPr>
    </w:p>
    <w:p>
      <w:pPr>
        <w:jc w:val="both"/>
        <w:ind w:left="7" w:right="120" w:firstLine="439"/>
        <w:spacing w:after="0" w:line="283" w:lineRule="auto"/>
        <w:rPr>
          <w:sz w:val="20"/>
          <w:szCs w:val="20"/>
          <w:color w:val="auto"/>
        </w:rPr>
      </w:pPr>
      <w:r>
        <w:rPr>
          <w:rFonts w:ascii="Arial" w:cs="Arial" w:eastAsia="Arial" w:hAnsi="Arial"/>
          <w:sz w:val="12"/>
          <w:szCs w:val="12"/>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SARs, RSUs, employee stock purchase plan (ESPP) awards, and the 2023 Notes, as determined per the treasury stock method.</w:t>
      </w:r>
    </w:p>
    <w:p>
      <w:pPr>
        <w:spacing w:after="0" w:line="9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Effect of Convertible Notes and Related Convertible Note Hedges and Warrants</w:t>
      </w:r>
    </w:p>
    <w:p>
      <w:pPr>
        <w:spacing w:after="0" w:line="127" w:lineRule="exact"/>
        <w:rPr>
          <w:sz w:val="20"/>
          <w:szCs w:val="20"/>
          <w:color w:val="auto"/>
        </w:rPr>
      </w:pPr>
    </w:p>
    <w:p>
      <w:pPr>
        <w:jc w:val="both"/>
        <w:ind w:left="7" w:right="100" w:firstLine="439"/>
        <w:spacing w:after="0" w:line="269" w:lineRule="auto"/>
        <w:rPr>
          <w:sz w:val="20"/>
          <w:szCs w:val="20"/>
          <w:color w:val="auto"/>
        </w:rPr>
      </w:pPr>
      <w:r>
        <w:rPr>
          <w:rFonts w:ascii="Arial" w:cs="Arial" w:eastAsia="Arial" w:hAnsi="Arial"/>
          <w:sz w:val="12"/>
          <w:szCs w:val="12"/>
          <w:color w:val="auto"/>
        </w:rPr>
        <w:t xml:space="preserve">In connection with the issuance of the 2023 Notes, the Company entered into Convertible Note Hedge and Warrant Transactions as described further in Note 8, </w:t>
      </w:r>
      <w:r>
        <w:rPr>
          <w:rFonts w:ascii="Arial" w:cs="Arial" w:eastAsia="Arial" w:hAnsi="Arial"/>
          <w:sz w:val="12"/>
          <w:szCs w:val="12"/>
          <w:i w:val="1"/>
          <w:iCs w:val="1"/>
          <w:color w:val="auto"/>
        </w:rPr>
        <w:t>Convertible Senior Notes Due 2023</w:t>
      </w:r>
      <w:r>
        <w:rPr>
          <w:rFonts w:ascii="Arial" w:cs="Arial" w:eastAsia="Arial" w:hAnsi="Arial"/>
          <w:sz w:val="12"/>
          <w:szCs w:val="12"/>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$80.9063 per share.</w:t>
      </w:r>
    </w:p>
    <w:p>
      <w:pPr>
        <w:spacing w:after="0" w:line="94"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2023 Notes and related Convertible Note Hedge and Warrant Transactions are excluded in the calculation of diluted EPS because inclusion would be anti-dilutive.</w:t>
      </w:r>
    </w:p>
    <w:p>
      <w:pPr>
        <w:spacing w:after="0" w:line="137" w:lineRule="exact"/>
        <w:rPr>
          <w:sz w:val="20"/>
          <w:szCs w:val="20"/>
          <w:color w:val="auto"/>
        </w:rPr>
      </w:pPr>
    </w:p>
    <w:p>
      <w:pPr>
        <w:jc w:val="both"/>
        <w:ind w:left="7" w:right="80" w:firstLine="439"/>
        <w:spacing w:after="0" w:line="273" w:lineRule="auto"/>
        <w:rPr>
          <w:sz w:val="20"/>
          <w:szCs w:val="20"/>
          <w:color w:val="auto"/>
        </w:rPr>
      </w:pPr>
      <w:r>
        <w:rPr>
          <w:rFonts w:ascii="Arial" w:cs="Arial" w:eastAsia="Arial" w:hAnsi="Arial"/>
          <w:sz w:val="12"/>
          <w:szCs w:val="12"/>
          <w:color w:val="auto"/>
        </w:rPr>
        <w:t>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w:t>
      </w:r>
    </w:p>
    <w:tbl>
      <w:tblPr>
        <w:tblLayout w:type="fixed"/>
        <w:tblInd w:w="7"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2480" w:type="dxa"/>
            <w:vAlign w:val="bottom"/>
          </w:tcPr>
          <w:p>
            <w:pPr>
              <w:jc w:val="right"/>
              <w:ind w:right="107"/>
              <w:spacing w:after="0" w:line="98" w:lineRule="exact"/>
              <w:rPr>
                <w:sz w:val="20"/>
                <w:szCs w:val="20"/>
                <w:color w:val="auto"/>
              </w:rPr>
            </w:pPr>
            <w:r>
              <w:rPr>
                <w:rFonts w:ascii="Arial" w:cs="Arial" w:eastAsia="Arial" w:hAnsi="Arial"/>
                <w:sz w:val="10"/>
                <w:szCs w:val="10"/>
                <w:b w:val="1"/>
                <w:bCs w:val="1"/>
                <w:color w:val="auto"/>
              </w:rPr>
              <w:t>Three Months ended</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tcPr>
          <w:p>
            <w:pPr>
              <w:jc w:val="center"/>
              <w:ind w:left="1249"/>
              <w:spacing w:after="0" w:line="98" w:lineRule="exact"/>
              <w:rPr>
                <w:sz w:val="20"/>
                <w:szCs w:val="20"/>
                <w:color w:val="auto"/>
              </w:rPr>
            </w:pPr>
            <w:r>
              <w:rPr>
                <w:rFonts w:ascii="Arial" w:cs="Arial" w:eastAsia="Arial" w:hAnsi="Arial"/>
                <w:sz w:val="10"/>
                <w:szCs w:val="10"/>
                <w:b w:val="1"/>
                <w:bCs w:val="1"/>
                <w:color w:val="auto"/>
                <w:w w:val="86"/>
              </w:rPr>
              <w:t>Nine Months ended</w:t>
            </w:r>
          </w:p>
        </w:tc>
        <w:tc>
          <w:tcPr>
            <w:tcW w:w="860" w:type="dxa"/>
            <w:vAlign w:val="bottom"/>
          </w:tcPr>
          <w:p>
            <w:pPr>
              <w:spacing w:after="0"/>
              <w:rPr>
                <w:sz w:val="8"/>
                <w:szCs w:val="8"/>
                <w:color w:val="auto"/>
              </w:rPr>
            </w:pPr>
          </w:p>
        </w:tc>
      </w:tr>
      <w:tr>
        <w:trPr>
          <w:trHeight w:val="127"/>
        </w:trPr>
        <w:tc>
          <w:tcPr>
            <w:tcW w:w="4580" w:type="dxa"/>
            <w:vAlign w:val="bottom"/>
          </w:tcPr>
          <w:p>
            <w:pPr>
              <w:spacing w:after="0"/>
              <w:rPr>
                <w:sz w:val="11"/>
                <w:szCs w:val="11"/>
                <w:color w:val="auto"/>
              </w:rPr>
            </w:pPr>
          </w:p>
        </w:tc>
        <w:tc>
          <w:tcPr>
            <w:tcW w:w="2480" w:type="dxa"/>
            <w:vAlign w:val="bottom"/>
            <w:tcBorders>
              <w:bottom w:val="single" w:sz="8" w:color="auto"/>
            </w:tcBorders>
          </w:tcPr>
          <w:p>
            <w:pPr>
              <w:jc w:val="right"/>
              <w:ind w:right="467"/>
              <w:spacing w:after="0"/>
              <w:rPr>
                <w:sz w:val="20"/>
                <w:szCs w:val="20"/>
                <w:color w:val="auto"/>
              </w:rPr>
            </w:pPr>
            <w:r>
              <w:rPr>
                <w:rFonts w:ascii="Arial" w:cs="Arial" w:eastAsia="Arial" w:hAnsi="Arial"/>
                <w:sz w:val="10"/>
                <w:szCs w:val="10"/>
                <w:b w:val="1"/>
                <w:bCs w:val="1"/>
                <w:color w:val="auto"/>
              </w:rPr>
              <w:t>September 30,</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tcBorders>
              <w:bottom w:val="single" w:sz="8" w:color="auto"/>
            </w:tcBorders>
          </w:tcPr>
          <w:p>
            <w:pPr>
              <w:jc w:val="right"/>
              <w:ind w:right="449"/>
              <w:spacing w:after="0"/>
              <w:rPr>
                <w:sz w:val="20"/>
                <w:szCs w:val="20"/>
                <w:color w:val="auto"/>
              </w:rPr>
            </w:pPr>
            <w:r>
              <w:rPr>
                <w:rFonts w:ascii="Arial" w:cs="Arial" w:eastAsia="Arial" w:hAnsi="Arial"/>
                <w:sz w:val="10"/>
                <w:szCs w:val="10"/>
                <w:b w:val="1"/>
                <w:bCs w:val="1"/>
                <w:color w:val="auto"/>
              </w:rPr>
              <w:t>September 30,</w:t>
            </w:r>
          </w:p>
        </w:tc>
        <w:tc>
          <w:tcPr>
            <w:tcW w:w="860" w:type="dxa"/>
            <w:vAlign w:val="bottom"/>
            <w:tcBorders>
              <w:bottom w:val="single" w:sz="8" w:color="auto"/>
            </w:tcBorders>
          </w:tcPr>
          <w:p>
            <w:pPr>
              <w:spacing w:after="0"/>
              <w:rPr>
                <w:sz w:val="11"/>
                <w:szCs w:val="11"/>
                <w:color w:val="auto"/>
              </w:rPr>
            </w:pPr>
          </w:p>
        </w:tc>
      </w:tr>
      <w:tr>
        <w:trPr>
          <w:trHeight w:val="117"/>
        </w:trPr>
        <w:tc>
          <w:tcPr>
            <w:tcW w:w="4580" w:type="dxa"/>
            <w:vAlign w:val="bottom"/>
          </w:tcPr>
          <w:p>
            <w:pPr>
              <w:spacing w:after="0"/>
              <w:rPr>
                <w:sz w:val="10"/>
                <w:szCs w:val="10"/>
                <w:color w:val="auto"/>
              </w:rPr>
            </w:pPr>
          </w:p>
        </w:tc>
        <w:tc>
          <w:tcPr>
            <w:tcW w:w="2480" w:type="dxa"/>
            <w:vAlign w:val="bottom"/>
            <w:tcBorders>
              <w:bottom w:val="single" w:sz="8" w:color="auto"/>
            </w:tcBorders>
          </w:tcPr>
          <w:p>
            <w:pPr>
              <w:jc w:val="right"/>
              <w:ind w:right="1307"/>
              <w:spacing w:after="0"/>
              <w:rPr>
                <w:sz w:val="20"/>
                <w:szCs w:val="20"/>
                <w:color w:val="auto"/>
              </w:rPr>
            </w:pPr>
            <w:r>
              <w:rPr>
                <w:rFonts w:ascii="Arial" w:cs="Arial" w:eastAsia="Arial" w:hAnsi="Arial"/>
                <w:sz w:val="10"/>
                <w:szCs w:val="10"/>
                <w:b w:val="1"/>
                <w:bCs w:val="1"/>
                <w:color w:val="auto"/>
              </w:rPr>
              <w:t>2021</w:t>
            </w:r>
          </w:p>
        </w:tc>
        <w:tc>
          <w:tcPr>
            <w:tcW w:w="840" w:type="dxa"/>
            <w:vAlign w:val="bottom"/>
            <w:tcBorders>
              <w:bottom w:val="single" w:sz="8" w:color="auto"/>
            </w:tcBorders>
          </w:tcPr>
          <w:p>
            <w:pPr>
              <w:jc w:val="right"/>
              <w:ind w:right="425"/>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2460" w:type="dxa"/>
            <w:vAlign w:val="bottom"/>
            <w:tcBorders>
              <w:bottom w:val="single" w:sz="8" w:color="auto"/>
            </w:tcBorders>
          </w:tcPr>
          <w:p>
            <w:pPr>
              <w:jc w:val="right"/>
              <w:ind w:right="1289"/>
              <w:spacing w:after="0"/>
              <w:rPr>
                <w:sz w:val="20"/>
                <w:szCs w:val="20"/>
                <w:color w:val="auto"/>
              </w:rPr>
            </w:pPr>
            <w:r>
              <w:rPr>
                <w:rFonts w:ascii="Arial" w:cs="Arial" w:eastAsia="Arial" w:hAnsi="Arial"/>
                <w:sz w:val="10"/>
                <w:szCs w:val="10"/>
                <w:b w:val="1"/>
                <w:bCs w:val="1"/>
                <w:color w:val="auto"/>
              </w:rPr>
              <w:t>2021</w:t>
            </w:r>
          </w:p>
        </w:tc>
        <w:tc>
          <w:tcPr>
            <w:tcW w:w="86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2020</w:t>
            </w:r>
          </w:p>
        </w:tc>
      </w:tr>
      <w:tr>
        <w:trPr>
          <w:trHeight w:val="117"/>
        </w:trPr>
        <w:tc>
          <w:tcPr>
            <w:tcW w:w="4580" w:type="dxa"/>
            <w:vAlign w:val="bottom"/>
          </w:tcPr>
          <w:p>
            <w:pPr>
              <w:spacing w:after="0"/>
              <w:rPr>
                <w:sz w:val="10"/>
                <w:szCs w:val="10"/>
                <w:color w:val="auto"/>
              </w:rPr>
            </w:pPr>
          </w:p>
        </w:tc>
        <w:tc>
          <w:tcPr>
            <w:tcW w:w="2480" w:type="dxa"/>
            <w:vAlign w:val="bottom"/>
          </w:tcPr>
          <w:p>
            <w:pPr>
              <w:jc w:val="right"/>
              <w:ind w:right="307"/>
              <w:spacing w:after="0"/>
              <w:rPr>
                <w:sz w:val="20"/>
                <w:szCs w:val="20"/>
                <w:color w:val="auto"/>
              </w:rPr>
            </w:pPr>
            <w:r>
              <w:rPr>
                <w:rFonts w:ascii="Arial" w:cs="Arial" w:eastAsia="Arial" w:hAnsi="Arial"/>
                <w:sz w:val="10"/>
                <w:szCs w:val="10"/>
                <w:b w:val="1"/>
                <w:bCs w:val="1"/>
                <w:color w:val="auto"/>
              </w:rPr>
              <w:t>(unaudited)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tcPr>
          <w:p>
            <w:pPr>
              <w:jc w:val="center"/>
              <w:ind w:left="1249"/>
              <w:spacing w:after="0"/>
              <w:rPr>
                <w:sz w:val="20"/>
                <w:szCs w:val="20"/>
                <w:color w:val="auto"/>
              </w:rPr>
            </w:pPr>
            <w:r>
              <w:rPr>
                <w:rFonts w:ascii="Arial" w:cs="Arial" w:eastAsia="Arial" w:hAnsi="Arial"/>
                <w:sz w:val="10"/>
                <w:szCs w:val="10"/>
                <w:b w:val="1"/>
                <w:bCs w:val="1"/>
                <w:color w:val="auto"/>
                <w:w w:val="88"/>
              </w:rPr>
              <w:t>(unaudited)</w:t>
            </w:r>
          </w:p>
        </w:tc>
        <w:tc>
          <w:tcPr>
            <w:tcW w:w="860" w:type="dxa"/>
            <w:vAlign w:val="bottom"/>
          </w:tcPr>
          <w:p>
            <w:pPr>
              <w:spacing w:after="0"/>
              <w:rPr>
                <w:sz w:val="10"/>
                <w:szCs w:val="10"/>
                <w:color w:val="auto"/>
              </w:rPr>
            </w:pPr>
          </w:p>
        </w:tc>
      </w:tr>
      <w:tr>
        <w:trPr>
          <w:trHeight w:val="157"/>
        </w:trPr>
        <w:tc>
          <w:tcPr>
            <w:tcW w:w="45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Stock options, RSUs, PSUs</w:t>
            </w:r>
          </w:p>
        </w:tc>
        <w:tc>
          <w:tcPr>
            <w:tcW w:w="2480" w:type="dxa"/>
            <w:vAlign w:val="bottom"/>
            <w:shd w:val="clear" w:color="auto" w:fill="CCEEFF"/>
          </w:tcPr>
          <w:p>
            <w:pPr>
              <w:jc w:val="right"/>
              <w:ind w:right="867"/>
              <w:spacing w:after="0"/>
              <w:rPr>
                <w:sz w:val="20"/>
                <w:szCs w:val="20"/>
                <w:color w:val="auto"/>
              </w:rPr>
            </w:pPr>
            <w:r>
              <w:rPr>
                <w:rFonts w:ascii="Arial" w:cs="Arial" w:eastAsia="Arial" w:hAnsi="Arial"/>
                <w:sz w:val="12"/>
                <w:szCs w:val="12"/>
                <w:color w:val="auto"/>
              </w:rPr>
              <w:t>1,654,816</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2,677,770</w:t>
            </w:r>
          </w:p>
        </w:tc>
        <w:tc>
          <w:tcPr>
            <w:tcW w:w="80" w:type="dxa"/>
            <w:vAlign w:val="bottom"/>
            <w:shd w:val="clear" w:color="auto" w:fill="CCEEFF"/>
          </w:tcPr>
          <w:p>
            <w:pPr>
              <w:spacing w:after="0"/>
              <w:rPr>
                <w:sz w:val="13"/>
                <w:szCs w:val="13"/>
                <w:color w:val="auto"/>
              </w:rPr>
            </w:pPr>
          </w:p>
        </w:tc>
        <w:tc>
          <w:tcPr>
            <w:tcW w:w="2460" w:type="dxa"/>
            <w:vAlign w:val="bottom"/>
            <w:shd w:val="clear" w:color="auto" w:fill="CCEEFF"/>
          </w:tcPr>
          <w:p>
            <w:pPr>
              <w:jc w:val="right"/>
              <w:ind w:right="829"/>
              <w:spacing w:after="0"/>
              <w:rPr>
                <w:sz w:val="20"/>
                <w:szCs w:val="20"/>
                <w:color w:val="auto"/>
              </w:rPr>
            </w:pPr>
            <w:r>
              <w:rPr>
                <w:rFonts w:ascii="Arial" w:cs="Arial" w:eastAsia="Arial" w:hAnsi="Arial"/>
                <w:sz w:val="12"/>
                <w:szCs w:val="12"/>
                <w:color w:val="auto"/>
              </w:rPr>
              <w:t>1,397,424</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2,905,469</w:t>
            </w:r>
          </w:p>
        </w:tc>
      </w:tr>
      <w:tr>
        <w:trPr>
          <w:trHeight w:val="603"/>
        </w:trPr>
        <w:tc>
          <w:tcPr>
            <w:tcW w:w="4580" w:type="dxa"/>
            <w:vAlign w:val="bottom"/>
          </w:tcPr>
          <w:p>
            <w:pPr>
              <w:spacing w:after="0"/>
              <w:rPr>
                <w:sz w:val="24"/>
                <w:szCs w:val="24"/>
                <w:color w:val="auto"/>
              </w:rPr>
            </w:pPr>
          </w:p>
        </w:tc>
        <w:tc>
          <w:tcPr>
            <w:tcW w:w="2480" w:type="dxa"/>
            <w:vAlign w:val="bottom"/>
          </w:tcPr>
          <w:p>
            <w:pPr>
              <w:jc w:val="right"/>
              <w:ind w:right="1307"/>
              <w:spacing w:after="0"/>
              <w:rPr>
                <w:sz w:val="20"/>
                <w:szCs w:val="20"/>
                <w:color w:val="auto"/>
              </w:rPr>
            </w:pPr>
            <w:r>
              <w:rPr>
                <w:rFonts w:ascii="Arial" w:cs="Arial" w:eastAsia="Arial" w:hAnsi="Arial"/>
                <w:sz w:val="12"/>
                <w:szCs w:val="12"/>
                <w:color w:val="auto"/>
              </w:rPr>
              <w:t>20</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4"/>
        </w:trPr>
        <w:tc>
          <w:tcPr>
            <w:tcW w:w="458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7157720</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20" w:name="page21"/>
    <w:bookmarkEnd w:id="20"/>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447"/>
        <w:spacing w:after="0"/>
        <w:rPr>
          <w:sz w:val="20"/>
          <w:szCs w:val="20"/>
          <w:color w:val="auto"/>
        </w:rPr>
      </w:pPr>
      <w:r>
        <w:rPr>
          <w:rFonts w:ascii="Arial" w:cs="Arial" w:eastAsia="Arial" w:hAnsi="Arial"/>
          <w:sz w:val="11"/>
          <w:szCs w:val="11"/>
          <w:color w:val="auto"/>
        </w:rPr>
        <w:t>The following table sets forth the computation of basic and diluted net earnings per share for the three and nine months ended September 30, 2021 and 2020 (dollars in thousands, except share and per share amounts):</w:t>
      </w:r>
    </w:p>
    <w:p>
      <w:pPr>
        <w:spacing w:after="0" w:line="24"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20" w:type="dxa"/>
            <w:vAlign w:val="bottom"/>
            <w:gridSpan w:val="4"/>
          </w:tcPr>
          <w:p>
            <w:pPr>
              <w:jc w:val="center"/>
              <w:ind w:left="142"/>
              <w:spacing w:after="0"/>
              <w:rPr>
                <w:sz w:val="20"/>
                <w:szCs w:val="20"/>
                <w:color w:val="auto"/>
              </w:rPr>
            </w:pPr>
            <w:r>
              <w:rPr>
                <w:rFonts w:ascii="Arial" w:cs="Arial" w:eastAsia="Arial" w:hAnsi="Arial"/>
                <w:sz w:val="10"/>
                <w:szCs w:val="10"/>
                <w:b w:val="1"/>
                <w:bCs w:val="1"/>
                <w:color w:val="auto"/>
                <w:w w:val="89"/>
              </w:rPr>
              <w:t>Three Months ended</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60" w:type="dxa"/>
            <w:vAlign w:val="bottom"/>
            <w:gridSpan w:val="4"/>
          </w:tcPr>
          <w:p>
            <w:pPr>
              <w:jc w:val="center"/>
              <w:ind w:left="643"/>
              <w:spacing w:after="0"/>
              <w:rPr>
                <w:sz w:val="20"/>
                <w:szCs w:val="20"/>
                <w:color w:val="auto"/>
              </w:rPr>
            </w:pPr>
            <w:r>
              <w:rPr>
                <w:rFonts w:ascii="Arial" w:cs="Arial" w:eastAsia="Arial" w:hAnsi="Arial"/>
                <w:sz w:val="10"/>
                <w:szCs w:val="10"/>
                <w:b w:val="1"/>
                <w:bCs w:val="1"/>
                <w:color w:val="auto"/>
                <w:w w:val="88"/>
              </w:rPr>
              <w:t>Nine Months ended</w:t>
            </w:r>
          </w:p>
        </w:tc>
        <w:tc>
          <w:tcPr>
            <w:tcW w:w="1040" w:type="dxa"/>
            <w:vAlign w:val="bottom"/>
          </w:tcPr>
          <w:p>
            <w:pPr>
              <w:spacing w:after="0"/>
              <w:rPr>
                <w:sz w:val="10"/>
                <w:szCs w:val="10"/>
                <w:color w:val="auto"/>
              </w:rPr>
            </w:pPr>
          </w:p>
        </w:tc>
      </w:tr>
      <w:tr>
        <w:trPr>
          <w:trHeight w:val="127"/>
        </w:trPr>
        <w:tc>
          <w:tcPr>
            <w:tcW w:w="36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340"/>
              <w:spacing w:after="0"/>
              <w:rPr>
                <w:sz w:val="20"/>
                <w:szCs w:val="20"/>
                <w:color w:val="auto"/>
              </w:rPr>
            </w:pPr>
            <w:r>
              <w:rPr>
                <w:rFonts w:ascii="Arial" w:cs="Arial" w:eastAsia="Arial" w:hAnsi="Arial"/>
                <w:sz w:val="10"/>
                <w:szCs w:val="10"/>
                <w:b w:val="1"/>
                <w:bCs w:val="1"/>
                <w:color w:val="auto"/>
              </w:rPr>
              <w:t>September 30,</w:t>
            </w:r>
          </w:p>
        </w:tc>
        <w:tc>
          <w:tcPr>
            <w:tcW w:w="4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17"/>
        </w:trPr>
        <w:tc>
          <w:tcPr>
            <w:tcW w:w="3680" w:type="dxa"/>
            <w:vAlign w:val="bottom"/>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r>
      <w:tr>
        <w:trPr>
          <w:trHeight w:val="117"/>
        </w:trPr>
        <w:tc>
          <w:tcPr>
            <w:tcW w:w="3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1"/>
              </w:rPr>
              <w:t>(unaudited)</w:t>
            </w: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57"/>
        </w:trPr>
        <w:tc>
          <w:tcPr>
            <w:tcW w:w="3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Numerator:</w:t>
            </w:r>
          </w:p>
        </w:tc>
        <w:tc>
          <w:tcPr>
            <w:tcW w:w="1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5"/>
        </w:trPr>
        <w:tc>
          <w:tcPr>
            <w:tcW w:w="3680" w:type="dxa"/>
            <w:vAlign w:val="bottom"/>
          </w:tcPr>
          <w:p>
            <w:pPr>
              <w:ind w:left="520"/>
              <w:spacing w:after="0"/>
              <w:rPr>
                <w:sz w:val="20"/>
                <w:szCs w:val="20"/>
                <w:color w:val="auto"/>
              </w:rPr>
            </w:pPr>
            <w:r>
              <w:rPr>
                <w:rFonts w:ascii="Arial" w:cs="Arial" w:eastAsia="Arial" w:hAnsi="Arial"/>
                <w:sz w:val="12"/>
                <w:szCs w:val="12"/>
                <w:color w:val="auto"/>
              </w:rPr>
              <w:t>Net earnings</w:t>
            </w:r>
          </w:p>
        </w:tc>
        <w:tc>
          <w:tcPr>
            <w:tcW w:w="1240" w:type="dxa"/>
            <w:vAlign w:val="bottom"/>
          </w:tcPr>
          <w:p>
            <w:pPr>
              <w:jc w:val="right"/>
              <w:ind w:right="682"/>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21,562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jc w:val="right"/>
              <w:ind w:right="25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39,997</w:t>
            </w:r>
          </w:p>
        </w:tc>
        <w:tc>
          <w:tcPr>
            <w:tcW w:w="60" w:type="dxa"/>
            <w:vAlign w:val="bottom"/>
          </w:tcPr>
          <w:p>
            <w:pPr>
              <w:spacing w:after="0"/>
              <w:rPr>
                <w:sz w:val="13"/>
                <w:szCs w:val="13"/>
                <w:color w:val="auto"/>
              </w:rPr>
            </w:pP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50,982</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jc w:val="right"/>
              <w:ind w:right="239"/>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96,182</w:t>
            </w:r>
          </w:p>
        </w:tc>
      </w:tr>
      <w:tr>
        <w:trPr>
          <w:trHeight w:val="156"/>
        </w:trPr>
        <w:tc>
          <w:tcPr>
            <w:tcW w:w="3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Denominator:</w:t>
            </w:r>
          </w:p>
        </w:tc>
        <w:tc>
          <w:tcPr>
            <w:tcW w:w="1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5"/>
        </w:trPr>
        <w:tc>
          <w:tcPr>
            <w:tcW w:w="3680" w:type="dxa"/>
            <w:vAlign w:val="bottom"/>
          </w:tcPr>
          <w:p>
            <w:pPr>
              <w:ind w:left="520"/>
              <w:spacing w:after="0"/>
              <w:rPr>
                <w:sz w:val="20"/>
                <w:szCs w:val="20"/>
                <w:color w:val="auto"/>
              </w:rPr>
            </w:pPr>
            <w:r>
              <w:rPr>
                <w:rFonts w:ascii="Arial" w:cs="Arial" w:eastAsia="Arial" w:hAnsi="Arial"/>
                <w:sz w:val="12"/>
                <w:szCs w:val="12"/>
                <w:color w:val="auto"/>
              </w:rPr>
              <w:t>Weighted average shares outstanding, basic</w:t>
            </w:r>
          </w:p>
        </w:tc>
        <w:tc>
          <w:tcPr>
            <w:tcW w:w="1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89"/>
              </w:rPr>
              <w:t>53,187,764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52,658,850</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53,053,441</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52,583,891</w:t>
            </w:r>
          </w:p>
        </w:tc>
      </w:tr>
      <w:tr>
        <w:trPr>
          <w:trHeight w:val="147"/>
        </w:trPr>
        <w:tc>
          <w:tcPr>
            <w:tcW w:w="36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5"/>
        </w:trPr>
        <w:tc>
          <w:tcPr>
            <w:tcW w:w="3680" w:type="dxa"/>
            <w:vAlign w:val="bottom"/>
          </w:tcPr>
          <w:p>
            <w:pPr>
              <w:ind w:left="520"/>
              <w:spacing w:after="0"/>
              <w:rPr>
                <w:sz w:val="20"/>
                <w:szCs w:val="20"/>
                <w:color w:val="auto"/>
              </w:rPr>
            </w:pPr>
            <w:r>
              <w:rPr>
                <w:rFonts w:ascii="Arial" w:cs="Arial" w:eastAsia="Arial" w:hAnsi="Arial"/>
                <w:sz w:val="12"/>
                <w:szCs w:val="12"/>
                <w:color w:val="auto"/>
              </w:rPr>
              <w:t>Effect of dilutive securities:</w:t>
            </w: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6"/>
        </w:trPr>
        <w:tc>
          <w:tcPr>
            <w:tcW w:w="36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Stock options, RSUs and SARs</w:t>
            </w:r>
          </w:p>
        </w:tc>
        <w:tc>
          <w:tcPr>
            <w:tcW w:w="1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1,147,030</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1,103,792</w:t>
            </w:r>
          </w:p>
        </w:tc>
        <w:tc>
          <w:tcPr>
            <w:tcW w:w="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1,248,020</w:t>
            </w:r>
          </w:p>
        </w:tc>
        <w:tc>
          <w:tcPr>
            <w:tcW w:w="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1,079,382</w:t>
            </w:r>
          </w:p>
        </w:tc>
      </w:tr>
      <w:tr>
        <w:trPr>
          <w:trHeight w:val="162"/>
        </w:trPr>
        <w:tc>
          <w:tcPr>
            <w:tcW w:w="368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Weighted average shares outstanding, diluted</w:t>
            </w: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54,334,794</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53,762,642</w:t>
            </w: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54,301,461</w:t>
            </w: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53,663,273</w:t>
            </w:r>
          </w:p>
        </w:tc>
      </w:tr>
      <w:tr>
        <w:trPr>
          <w:trHeight w:val="128"/>
        </w:trPr>
        <w:tc>
          <w:tcPr>
            <w:tcW w:w="36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55"/>
        </w:trPr>
        <w:tc>
          <w:tcPr>
            <w:tcW w:w="3680" w:type="dxa"/>
            <w:vAlign w:val="bottom"/>
          </w:tcPr>
          <w:p>
            <w:pPr>
              <w:ind w:left="440"/>
              <w:spacing w:after="0"/>
              <w:rPr>
                <w:sz w:val="20"/>
                <w:szCs w:val="20"/>
                <w:color w:val="auto"/>
              </w:rPr>
            </w:pPr>
            <w:r>
              <w:rPr>
                <w:rFonts w:ascii="Arial" w:cs="Arial" w:eastAsia="Arial" w:hAnsi="Arial"/>
                <w:sz w:val="12"/>
                <w:szCs w:val="12"/>
                <w:color w:val="auto"/>
              </w:rPr>
              <w:t>Earnings per share, basic</w:t>
            </w:r>
          </w:p>
        </w:tc>
        <w:tc>
          <w:tcPr>
            <w:tcW w:w="1240" w:type="dxa"/>
            <w:vAlign w:val="bottom"/>
          </w:tcPr>
          <w:p>
            <w:pPr>
              <w:jc w:val="right"/>
              <w:ind w:right="682"/>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0.41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jc w:val="right"/>
              <w:ind w:right="25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0.76</w:t>
            </w:r>
          </w:p>
        </w:tc>
        <w:tc>
          <w:tcPr>
            <w:tcW w:w="60" w:type="dxa"/>
            <w:vAlign w:val="bottom"/>
          </w:tcPr>
          <w:p>
            <w:pPr>
              <w:spacing w:after="0"/>
              <w:rPr>
                <w:sz w:val="13"/>
                <w:szCs w:val="13"/>
                <w:color w:val="auto"/>
              </w:rPr>
            </w:pP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0.96</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jc w:val="right"/>
              <w:ind w:right="239"/>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1.83</w:t>
            </w:r>
          </w:p>
        </w:tc>
      </w:tr>
      <w:tr>
        <w:trPr>
          <w:trHeight w:val="156"/>
        </w:trPr>
        <w:tc>
          <w:tcPr>
            <w:tcW w:w="3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Earnings per share, diluted</w:t>
            </w:r>
          </w:p>
        </w:tc>
        <w:tc>
          <w:tcPr>
            <w:tcW w:w="124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0.74</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0.94</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1.79</w:t>
            </w:r>
          </w:p>
        </w:tc>
      </w:tr>
    </w:tbl>
    <w:p>
      <w:pPr>
        <w:spacing w:after="0" w:line="170" w:lineRule="exact"/>
        <w:rPr>
          <w:sz w:val="20"/>
          <w:szCs w:val="20"/>
          <w:color w:val="auto"/>
        </w:rPr>
      </w:pPr>
    </w:p>
    <w:p>
      <w:pPr>
        <w:ind w:left="267" w:hanging="267"/>
        <w:spacing w:after="0"/>
        <w:tabs>
          <w:tab w:leader="none" w:pos="267" w:val="left"/>
        </w:tabs>
        <w:numPr>
          <w:ilvl w:val="0"/>
          <w:numId w:val="17"/>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 Expense</w:t>
      </w:r>
    </w:p>
    <w:p>
      <w:pPr>
        <w:spacing w:after="0" w:line="141"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table provides information regarding the Company’s income tax expense for the three and nine months ended September 30, 2021 and 2020 (dollars in thousands):</w:t>
      </w:r>
    </w:p>
    <w:p>
      <w:pPr>
        <w:spacing w:after="0" w:line="1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2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89"/>
              </w:rPr>
              <w:t>Three Months ended</w:t>
            </w: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w w:val="88"/>
              </w:rPr>
              <w:t>Nine Months ended</w:t>
            </w: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7"/>
        </w:trPr>
        <w:tc>
          <w:tcPr>
            <w:tcW w:w="24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September 30,</w:t>
            </w: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b w:val="1"/>
                <w:bCs w:val="1"/>
                <w:color w:val="auto"/>
              </w:rPr>
              <w:t>September 30,</w:t>
            </w:r>
          </w:p>
        </w:tc>
        <w:tc>
          <w:tcPr>
            <w:tcW w:w="9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r>
      <w:tr>
        <w:trPr>
          <w:trHeight w:val="117"/>
        </w:trPr>
        <w:tc>
          <w:tcPr>
            <w:tcW w:w="246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2021</w:t>
            </w:r>
          </w:p>
        </w:tc>
        <w:tc>
          <w:tcPr>
            <w:tcW w:w="1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2021</w:t>
            </w:r>
          </w:p>
        </w:tc>
        <w:tc>
          <w:tcPr>
            <w:tcW w:w="1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0"/>
                <w:szCs w:val="10"/>
                <w:color w:val="auto"/>
              </w:rPr>
            </w:pPr>
          </w:p>
        </w:tc>
      </w:tr>
      <w:tr>
        <w:trPr>
          <w:trHeight w:val="117"/>
        </w:trPr>
        <w:tc>
          <w:tcPr>
            <w:tcW w:w="2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w w:val="91"/>
              </w:rPr>
              <w:t>(unaudited)</w:t>
            </w: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57"/>
        </w:trPr>
        <w:tc>
          <w:tcPr>
            <w:tcW w:w="24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Income tax expense</w:t>
            </w:r>
          </w:p>
        </w:tc>
        <w:tc>
          <w:tcPr>
            <w:tcW w:w="84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rPr>
              <w:t>7,398</w:t>
            </w:r>
          </w:p>
        </w:tc>
        <w:tc>
          <w:tcPr>
            <w:tcW w:w="1400" w:type="dxa"/>
            <w:vAlign w:val="bottom"/>
            <w:shd w:val="clear" w:color="auto" w:fill="CCEEFF"/>
          </w:tcPr>
          <w:p>
            <w:pPr>
              <w:jc w:val="right"/>
              <w:ind w:right="346"/>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12,714</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20,142</w:t>
            </w:r>
          </w:p>
        </w:tc>
        <w:tc>
          <w:tcPr>
            <w:tcW w:w="1380" w:type="dxa"/>
            <w:vAlign w:val="bottom"/>
            <w:shd w:val="clear" w:color="auto" w:fill="CCEEFF"/>
          </w:tcPr>
          <w:p>
            <w:pPr>
              <w:jc w:val="right"/>
              <w:ind w:right="326"/>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32,773</w:t>
            </w:r>
          </w:p>
        </w:tc>
        <w:tc>
          <w:tcPr>
            <w:tcW w:w="360" w:type="dxa"/>
            <w:vAlign w:val="bottom"/>
            <w:shd w:val="clear" w:color="auto" w:fill="CCEEFF"/>
          </w:tcPr>
          <w:p>
            <w:pPr>
              <w:spacing w:after="0"/>
              <w:rPr>
                <w:sz w:val="13"/>
                <w:szCs w:val="13"/>
                <w:color w:val="auto"/>
              </w:rPr>
            </w:pPr>
          </w:p>
        </w:tc>
      </w:tr>
      <w:tr>
        <w:trPr>
          <w:trHeight w:val="155"/>
        </w:trPr>
        <w:tc>
          <w:tcPr>
            <w:tcW w:w="2460" w:type="dxa"/>
            <w:vAlign w:val="bottom"/>
          </w:tcPr>
          <w:p>
            <w:pPr>
              <w:ind w:left="440"/>
              <w:spacing w:after="0"/>
              <w:rPr>
                <w:sz w:val="20"/>
                <w:szCs w:val="20"/>
                <w:color w:val="auto"/>
              </w:rPr>
            </w:pPr>
            <w:r>
              <w:rPr>
                <w:rFonts w:ascii="Arial" w:cs="Arial" w:eastAsia="Arial" w:hAnsi="Arial"/>
                <w:sz w:val="12"/>
                <w:szCs w:val="12"/>
                <w:color w:val="auto"/>
              </w:rPr>
              <w:t>Effective tax rate</w:t>
            </w:r>
          </w:p>
        </w:tc>
        <w:tc>
          <w:tcPr>
            <w:tcW w:w="840" w:type="dxa"/>
            <w:vAlign w:val="bottom"/>
          </w:tcPr>
          <w:p>
            <w:pPr>
              <w:spacing w:after="0"/>
              <w:rPr>
                <w:sz w:val="13"/>
                <w:szCs w:val="13"/>
                <w:color w:val="auto"/>
              </w:rPr>
            </w:pPr>
          </w:p>
        </w:tc>
        <w:tc>
          <w:tcPr>
            <w:tcW w:w="880" w:type="dxa"/>
            <w:vAlign w:val="bottom"/>
          </w:tcPr>
          <w:p>
            <w:pPr>
              <w:jc w:val="right"/>
              <w:ind w:right="123"/>
              <w:spacing w:after="0"/>
              <w:rPr>
                <w:sz w:val="20"/>
                <w:szCs w:val="20"/>
                <w:color w:val="auto"/>
              </w:rPr>
            </w:pPr>
            <w:r>
              <w:rPr>
                <w:rFonts w:ascii="Arial" w:cs="Arial" w:eastAsia="Arial" w:hAnsi="Arial"/>
                <w:sz w:val="12"/>
                <w:szCs w:val="12"/>
                <w:color w:val="auto"/>
              </w:rPr>
              <w:t>25.5</w:t>
            </w:r>
          </w:p>
        </w:tc>
        <w:tc>
          <w:tcPr>
            <w:tcW w:w="1400" w:type="dxa"/>
            <w:vAlign w:val="bottom"/>
          </w:tcPr>
          <w:p>
            <w:pPr>
              <w:jc w:val="right"/>
              <w:ind w:right="946"/>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3"/>
              <w:spacing w:after="0"/>
              <w:rPr>
                <w:sz w:val="20"/>
                <w:szCs w:val="20"/>
                <w:color w:val="auto"/>
              </w:rPr>
            </w:pPr>
            <w:r>
              <w:rPr>
                <w:rFonts w:ascii="Arial" w:cs="Arial" w:eastAsia="Arial" w:hAnsi="Arial"/>
                <w:sz w:val="12"/>
                <w:szCs w:val="12"/>
                <w:color w:val="auto"/>
              </w:rPr>
              <w:t>24.1</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jc w:val="right"/>
              <w:ind w:right="103"/>
              <w:spacing w:after="0"/>
              <w:rPr>
                <w:sz w:val="20"/>
                <w:szCs w:val="20"/>
                <w:color w:val="auto"/>
              </w:rPr>
            </w:pPr>
            <w:r>
              <w:rPr>
                <w:rFonts w:ascii="Arial" w:cs="Arial" w:eastAsia="Arial" w:hAnsi="Arial"/>
                <w:sz w:val="12"/>
                <w:szCs w:val="12"/>
                <w:color w:val="auto"/>
              </w:rPr>
              <w:t>28.3</w:t>
            </w:r>
          </w:p>
        </w:tc>
        <w:tc>
          <w:tcPr>
            <w:tcW w:w="1380" w:type="dxa"/>
            <w:vAlign w:val="bottom"/>
          </w:tcPr>
          <w:p>
            <w:pPr>
              <w:jc w:val="right"/>
              <w:ind w:right="926"/>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3"/>
              <w:spacing w:after="0"/>
              <w:rPr>
                <w:sz w:val="20"/>
                <w:szCs w:val="20"/>
                <w:color w:val="auto"/>
              </w:rPr>
            </w:pPr>
            <w:r>
              <w:rPr>
                <w:rFonts w:ascii="Arial" w:cs="Arial" w:eastAsia="Arial" w:hAnsi="Arial"/>
                <w:sz w:val="12"/>
                <w:szCs w:val="12"/>
                <w:color w:val="auto"/>
              </w:rPr>
              <w:t>25.4</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75" w:lineRule="exact"/>
        <w:rPr>
          <w:sz w:val="20"/>
          <w:szCs w:val="20"/>
          <w:color w:val="auto"/>
        </w:rPr>
      </w:pPr>
    </w:p>
    <w:p>
      <w:pPr>
        <w:ind w:left="7" w:right="80" w:firstLine="439"/>
        <w:spacing w:after="0" w:line="264" w:lineRule="auto"/>
        <w:rPr>
          <w:sz w:val="20"/>
          <w:szCs w:val="20"/>
          <w:color w:val="auto"/>
        </w:rPr>
      </w:pPr>
      <w:r>
        <w:rPr>
          <w:rFonts w:ascii="Arial" w:cs="Arial" w:eastAsia="Arial" w:hAnsi="Arial"/>
          <w:sz w:val="12"/>
          <w:szCs w:val="12"/>
          <w:color w:val="auto"/>
        </w:rPr>
        <w:t>Income tax expense for the three and nine months ended September 30, 2021, as compared to the same periods in the prior year, decreased primarily due to lower income before taxes in 2021. The effective income tax rate increased for the three months ended September 30, 2021, as compared to the same period in the prior year, primarily due to greater research and development credit benefit recognized during the three months ended September 30, 2020. The effective income tax rate increased for the nine months ended September 30, 2021, as compared to the same period in the prior year, mainly due to changes in the effective state tax rates as a result of the transfer of workforce between legal entities in the first quarter of 2021.</w:t>
      </w:r>
    </w:p>
    <w:p>
      <w:pPr>
        <w:spacing w:after="0" w:line="93" w:lineRule="exact"/>
        <w:rPr>
          <w:sz w:val="20"/>
          <w:szCs w:val="20"/>
          <w:color w:val="auto"/>
        </w:rPr>
      </w:pPr>
    </w:p>
    <w:p>
      <w:pPr>
        <w:ind w:left="267" w:hanging="267"/>
        <w:spacing w:after="0"/>
        <w:tabs>
          <w:tab w:leader="none" w:pos="267" w:val="left"/>
        </w:tabs>
        <w:numPr>
          <w:ilvl w:val="0"/>
          <w:numId w:val="18"/>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Headquarters and Fleet Vehicles</w:t>
      </w:r>
    </w:p>
    <w:p>
      <w:pPr>
        <w:spacing w:after="0" w:line="137" w:lineRule="exact"/>
        <w:rPr>
          <w:sz w:val="20"/>
          <w:szCs w:val="20"/>
          <w:color w:val="auto"/>
        </w:rPr>
      </w:pPr>
    </w:p>
    <w:p>
      <w:pPr>
        <w:ind w:left="7" w:right="120" w:firstLine="439"/>
        <w:spacing w:after="0" w:line="331" w:lineRule="auto"/>
        <w:rPr>
          <w:sz w:val="20"/>
          <w:szCs w:val="20"/>
          <w:color w:val="auto"/>
        </w:rPr>
      </w:pPr>
      <w:r>
        <w:rPr>
          <w:rFonts w:ascii="Arial" w:cs="Arial" w:eastAsia="Arial" w:hAnsi="Arial"/>
          <w:sz w:val="11"/>
          <w:szCs w:val="11"/>
          <w:color w:val="auto"/>
        </w:rPr>
        <w:t>The Company has operating leases for its headquarters lease and its fleet vehicles. With respect to the fleet vehicle leases, given the volume of individual leases involved in the overall arrangement, the Company applies a portfolio approach to effectively account for the operating lease assets and liabilities. The Company also elected to combine the lease and non-lease components for the fleet vehicle and headquarters leases.</w:t>
      </w:r>
    </w:p>
    <w:p>
      <w:pPr>
        <w:spacing w:after="0" w:line="63" w:lineRule="exact"/>
        <w:rPr>
          <w:sz w:val="20"/>
          <w:szCs w:val="20"/>
          <w:color w:val="auto"/>
        </w:rPr>
      </w:pPr>
    </w:p>
    <w:p>
      <w:pPr>
        <w:ind w:left="7" w:right="100" w:firstLine="439"/>
        <w:spacing w:after="0" w:line="283" w:lineRule="auto"/>
        <w:rPr>
          <w:sz w:val="20"/>
          <w:szCs w:val="20"/>
          <w:color w:val="auto"/>
        </w:rPr>
      </w:pPr>
      <w:r>
        <w:rPr>
          <w:rFonts w:ascii="Arial" w:cs="Arial" w:eastAsia="Arial" w:hAnsi="Arial"/>
          <w:sz w:val="12"/>
          <w:szCs w:val="12"/>
          <w:color w:val="auto"/>
        </w:rPr>
        <w:t>The Company's headquarters lease commenced on February 1, 2019 and will continue until April 30, 2034, unless earlier terminated in accordance with the terms of the lease. The lease includes options to extend the lease for up to 10 years.</w:t>
      </w:r>
    </w:p>
    <w:p>
      <w:pPr>
        <w:spacing w:after="0" w:line="86" w:lineRule="exact"/>
        <w:rPr>
          <w:sz w:val="20"/>
          <w:szCs w:val="20"/>
          <w:color w:val="auto"/>
        </w:rPr>
      </w:pPr>
    </w:p>
    <w:p>
      <w:pPr>
        <w:ind w:left="7" w:right="180" w:firstLine="439"/>
        <w:spacing w:after="0" w:line="331" w:lineRule="auto"/>
        <w:rPr>
          <w:sz w:val="20"/>
          <w:szCs w:val="20"/>
          <w:color w:val="auto"/>
        </w:rPr>
      </w:pPr>
      <w:r>
        <w:rPr>
          <w:rFonts w:ascii="Arial" w:cs="Arial" w:eastAsia="Arial" w:hAnsi="Arial"/>
          <w:sz w:val="11"/>
          <w:szCs w:val="11"/>
          <w:color w:val="auto"/>
        </w:rPr>
        <w:t>On August 23, 2021, the Company entered into an addendum to the original headquarters lease agreement to lease additional office space, referred to as the Expansion Premises. The Expansion Premises is separate from the lease space in the original lease agreement. The term of the lease with respect to the Expansion Premises commenced on September 1, 2021 and coincides with the lease term per the original lease agreement.</w:t>
      </w: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21" w:name="page22"/>
    <w:bookmarkEnd w:id="21"/>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Contract Manufacturing Lease</w:t>
      </w:r>
    </w:p>
    <w:p>
      <w:pPr>
        <w:spacing w:after="0" w:line="137" w:lineRule="exact"/>
        <w:rPr>
          <w:sz w:val="20"/>
          <w:szCs w:val="20"/>
          <w:color w:val="auto"/>
        </w:rPr>
      </w:pPr>
    </w:p>
    <w:p>
      <w:pPr>
        <w:ind w:left="7" w:right="20" w:firstLine="439"/>
        <w:spacing w:after="0" w:line="264" w:lineRule="auto"/>
        <w:rPr>
          <w:sz w:val="20"/>
          <w:szCs w:val="20"/>
          <w:color w:val="auto"/>
        </w:rPr>
      </w:pPr>
      <w:r>
        <w:rPr>
          <w:rFonts w:ascii="Arial" w:cs="Arial" w:eastAsia="Arial" w:hAnsi="Arial"/>
          <w:sz w:val="12"/>
          <w:szCs w:val="12"/>
          <w:color w:val="auto"/>
        </w:rPr>
        <w:t xml:space="preserve">Contemporaneous with the USWM Acquisition, USWM Enterprises adopted ASC 842,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USWM Enterprises had an existing contract manufacturing agreement with Merz Pharma GmbH &amp; Co. KGaA (Merz), for the manufacture and supply of rimabotulinumtoxinB finished products (Merz Agreement). Pursuant to the Merz Agreement, Merz agreed to provide a dedicated manufacturing facility that included a stand-alone building, dedicated clean room suites, dedicated manufacturing and purification equipment, and filling and packaging production lines (collectively, the manufacturing facility) to manufacture finished products. The Merz Agreement will expire in July 2027, unless the Company and Merz mutually agree to extend the terms. The Merz Agreement may not be terminated for convenience.</w:t>
      </w:r>
    </w:p>
    <w:p>
      <w:pPr>
        <w:spacing w:after="0" w:line="97" w:lineRule="exact"/>
        <w:rPr>
          <w:sz w:val="20"/>
          <w:szCs w:val="20"/>
          <w:color w:val="auto"/>
        </w:rPr>
      </w:pPr>
    </w:p>
    <w:p>
      <w:pPr>
        <w:ind w:left="7" w:right="500" w:firstLine="439"/>
        <w:spacing w:after="0" w:line="283" w:lineRule="auto"/>
        <w:rPr>
          <w:sz w:val="20"/>
          <w:szCs w:val="20"/>
          <w:color w:val="auto"/>
        </w:rPr>
      </w:pPr>
      <w:r>
        <w:rPr>
          <w:rFonts w:ascii="Arial" w:cs="Arial" w:eastAsia="Arial" w:hAnsi="Arial"/>
          <w:sz w:val="12"/>
          <w:szCs w:val="12"/>
          <w:color w:val="auto"/>
        </w:rPr>
        <w:t>Under the terms of the agreement, the Company is required to purchase a minimum quantity of finished products on an annual basis. This minimum purchase requirement represents the in-substance fixed contract consideration associated with the dedicated manufacturing facility which the Company accounts for as an embedded lease.</w:t>
      </w:r>
    </w:p>
    <w:p>
      <w:pPr>
        <w:spacing w:after="0" w:line="86" w:lineRule="exact"/>
        <w:rPr>
          <w:sz w:val="20"/>
          <w:szCs w:val="20"/>
          <w:color w:val="auto"/>
        </w:rPr>
      </w:pPr>
    </w:p>
    <w:p>
      <w:pPr>
        <w:ind w:left="7" w:right="40" w:firstLine="439"/>
        <w:spacing w:after="0" w:line="261" w:lineRule="auto"/>
        <w:rPr>
          <w:sz w:val="20"/>
          <w:szCs w:val="20"/>
          <w:color w:val="auto"/>
        </w:rPr>
      </w:pPr>
      <w:r>
        <w:rPr>
          <w:rFonts w:ascii="Arial" w:cs="Arial" w:eastAsia="Arial" w:hAnsi="Arial"/>
          <w:sz w:val="12"/>
          <w:szCs w:val="12"/>
          <w:color w:val="auto"/>
        </w:rPr>
        <w:t xml:space="preserve">At the Closing Date of the USWM Acquisition, the Company preliminarily classified the embedded lease as a finance lease and preliminarily elected not to separate the lease and non-lease components. In the second quarter of 2021, the Company finalized its accounting of the USWM Acquisition. During the measurement period, the Company determined the fair market value of rent for the lease components and fair market value of the manufacturing facility associated with the Merz embedded lease. As a result, the Company made an accounting policy election, by class of underlying asset, to not combine lease and non-lease components for the manufacturing facility. A portion of the in-substance fixed contract consideration was allocated to the lease component based on the stand-alone selling price. Accordingly, the Company has finalized and updated the classification of the embedded lease from a finance lease to an operating lease. Refer to Note 3, </w:t>
      </w:r>
      <w:r>
        <w:rPr>
          <w:rFonts w:ascii="Arial" w:cs="Arial" w:eastAsia="Arial" w:hAnsi="Arial"/>
          <w:sz w:val="12"/>
          <w:szCs w:val="12"/>
          <w:i w:val="1"/>
          <w:iCs w:val="1"/>
          <w:color w:val="auto"/>
        </w:rPr>
        <w:t>USWM Acquisition</w:t>
      </w:r>
      <w:r>
        <w:rPr>
          <w:rFonts w:ascii="Arial" w:cs="Arial" w:eastAsia="Arial" w:hAnsi="Arial"/>
          <w:sz w:val="12"/>
          <w:szCs w:val="12"/>
          <w:color w:val="auto"/>
        </w:rPr>
        <w:t>, for further discussion.</w:t>
      </w:r>
    </w:p>
    <w:p>
      <w:pPr>
        <w:spacing w:after="0" w:line="110" w:lineRule="exact"/>
        <w:rPr>
          <w:sz w:val="20"/>
          <w:szCs w:val="20"/>
          <w:color w:val="auto"/>
        </w:rPr>
      </w:pPr>
    </w:p>
    <w:p>
      <w:pPr>
        <w:ind w:left="447"/>
        <w:spacing w:after="0"/>
        <w:rPr>
          <w:sz w:val="20"/>
          <w:szCs w:val="20"/>
          <w:color w:val="auto"/>
        </w:rPr>
      </w:pPr>
      <w:r>
        <w:rPr>
          <w:rFonts w:ascii="Arial" w:cs="Arial" w:eastAsia="Arial" w:hAnsi="Arial"/>
          <w:sz w:val="12"/>
          <w:szCs w:val="12"/>
          <w:color w:val="auto"/>
        </w:rPr>
        <w:t>Operating and finance lease assets and lease liabilities as reported on the condensed consolidated balance sheets are as follows (dollars in thousands):</w:t>
      </w:r>
    </w:p>
    <w:p>
      <w:pPr>
        <w:spacing w:after="0" w:line="30" w:lineRule="exact"/>
        <w:rPr>
          <w:sz w:val="20"/>
          <w:szCs w:val="20"/>
          <w:color w:val="auto"/>
        </w:rPr>
      </w:pPr>
    </w:p>
    <w:tbl>
      <w:tblPr>
        <w:tblLayout w:type="fixed"/>
        <w:tblInd w:w="7" w:type="dxa"/>
        <w:tblCellMar>
          <w:top w:w="0" w:type="dxa"/>
          <w:left w:w="0" w:type="dxa"/>
          <w:bottom w:w="0" w:type="dxa"/>
          <w:right w:w="0" w:type="dxa"/>
        </w:tblCellMar>
      </w:tblPr>
      <w:tr>
        <w:trPr>
          <w:trHeight w:val="129"/>
        </w:trPr>
        <w:tc>
          <w:tcPr>
            <w:tcW w:w="4320" w:type="dxa"/>
            <w:vAlign w:val="bottom"/>
          </w:tcPr>
          <w:p>
            <w:pPr>
              <w:spacing w:after="0"/>
              <w:rPr>
                <w:sz w:val="11"/>
                <w:szCs w:val="11"/>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Balance Sheet Classification</w:t>
            </w:r>
          </w:p>
        </w:tc>
        <w:tc>
          <w:tcPr>
            <w:tcW w:w="280" w:type="dxa"/>
            <w:vAlign w:val="bottom"/>
          </w:tcPr>
          <w:p>
            <w:pPr>
              <w:spacing w:after="0"/>
              <w:rPr>
                <w:sz w:val="11"/>
                <w:szCs w:val="11"/>
                <w:color w:val="auto"/>
              </w:rPr>
            </w:pPr>
          </w:p>
        </w:tc>
        <w:tc>
          <w:tcPr>
            <w:tcW w:w="154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 2021</w:t>
            </w:r>
          </w:p>
        </w:tc>
        <w:tc>
          <w:tcPr>
            <w:tcW w:w="280" w:type="dxa"/>
            <w:vAlign w:val="bottom"/>
          </w:tcPr>
          <w:p>
            <w:pPr>
              <w:spacing w:after="0"/>
              <w:rPr>
                <w:sz w:val="11"/>
                <w:szCs w:val="11"/>
                <w:color w:val="auto"/>
              </w:rPr>
            </w:pPr>
          </w:p>
        </w:tc>
        <w:tc>
          <w:tcPr>
            <w:tcW w:w="1460" w:type="dxa"/>
            <w:vAlign w:val="bottom"/>
          </w:tcPr>
          <w:p>
            <w:pPr>
              <w:jc w:val="right"/>
              <w:ind w:right="420"/>
              <w:spacing w:after="0"/>
              <w:rPr>
                <w:sz w:val="20"/>
                <w:szCs w:val="20"/>
                <w:color w:val="auto"/>
              </w:rPr>
            </w:pPr>
            <w:r>
              <w:rPr>
                <w:rFonts w:ascii="Arial" w:cs="Arial" w:eastAsia="Arial" w:hAnsi="Arial"/>
                <w:sz w:val="10"/>
                <w:szCs w:val="10"/>
                <w:b w:val="1"/>
                <w:bCs w:val="1"/>
                <w:color w:val="auto"/>
              </w:rPr>
              <w:t>December 31, 2020</w:t>
            </w:r>
          </w:p>
        </w:tc>
      </w:tr>
      <w:tr>
        <w:trPr>
          <w:trHeight w:val="122"/>
        </w:trPr>
        <w:tc>
          <w:tcPr>
            <w:tcW w:w="4320" w:type="dxa"/>
            <w:vAlign w:val="bottom"/>
            <w:tcBorders>
              <w:top w:val="single" w:sz="8" w:color="CCEEFF"/>
            </w:tcBorders>
            <w:shd w:val="clear" w:color="auto" w:fill="CCEEFF"/>
          </w:tcPr>
          <w:p>
            <w:pPr>
              <w:spacing w:after="0"/>
              <w:rPr>
                <w:sz w:val="10"/>
                <w:szCs w:val="10"/>
                <w:color w:val="auto"/>
              </w:rPr>
            </w:pPr>
          </w:p>
        </w:tc>
        <w:tc>
          <w:tcPr>
            <w:tcW w:w="3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0"/>
                <w:szCs w:val="10"/>
                <w:b w:val="1"/>
                <w:bCs w:val="1"/>
                <w:color w:val="auto"/>
              </w:rPr>
              <w:t>(unaudited)</w:t>
            </w: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rPr>
                <w:sz w:val="10"/>
                <w:szCs w:val="10"/>
                <w:color w:val="auto"/>
              </w:rPr>
            </w:pPr>
          </w:p>
        </w:tc>
      </w:tr>
      <w:tr>
        <w:trPr>
          <w:trHeight w:val="156"/>
        </w:trPr>
        <w:tc>
          <w:tcPr>
            <w:tcW w:w="432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6"/>
        </w:trPr>
        <w:tc>
          <w:tcPr>
            <w:tcW w:w="4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Operating lease assets</w:t>
            </w: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5"/>
              </w:rPr>
              <w:t>Other assets</w:t>
            </w: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30,108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20,231</w:t>
            </w:r>
          </w:p>
        </w:tc>
      </w:tr>
      <w:tr>
        <w:trPr>
          <w:trHeight w:val="155"/>
        </w:trPr>
        <w:tc>
          <w:tcPr>
            <w:tcW w:w="4320" w:type="dxa"/>
            <w:vAlign w:val="bottom"/>
          </w:tcPr>
          <w:p>
            <w:pPr>
              <w:ind w:left="80"/>
              <w:spacing w:after="0"/>
              <w:rPr>
                <w:sz w:val="20"/>
                <w:szCs w:val="20"/>
                <w:color w:val="auto"/>
              </w:rPr>
            </w:pPr>
            <w:r>
              <w:rPr>
                <w:rFonts w:ascii="Arial" w:cs="Arial" w:eastAsia="Arial" w:hAnsi="Arial"/>
                <w:sz w:val="12"/>
                <w:szCs w:val="12"/>
                <w:color w:val="auto"/>
              </w:rPr>
              <w:t>Finance lease asset</w:t>
            </w:r>
          </w:p>
        </w:tc>
        <w:tc>
          <w:tcPr>
            <w:tcW w:w="342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Property and equipment, net</w:t>
            </w:r>
          </w:p>
        </w:tc>
        <w:tc>
          <w:tcPr>
            <w:tcW w:w="280" w:type="dxa"/>
            <w:vAlign w:val="bottom"/>
          </w:tcPr>
          <w:p>
            <w:pPr>
              <w:spacing w:after="0"/>
              <w:rPr>
                <w:sz w:val="13"/>
                <w:szCs w:val="13"/>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20,874</w:t>
            </w:r>
          </w:p>
        </w:tc>
      </w:tr>
      <w:tr>
        <w:trPr>
          <w:trHeight w:val="162"/>
        </w:trPr>
        <w:tc>
          <w:tcPr>
            <w:tcW w:w="4320" w:type="dxa"/>
            <w:vAlign w:val="bottom"/>
            <w:tcBorders>
              <w:top w:val="single" w:sz="8" w:color="CCEEFF"/>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Total lease assets</w:t>
            </w:r>
          </w:p>
        </w:tc>
        <w:tc>
          <w:tcPr>
            <w:tcW w:w="33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30,108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41,105</w:t>
            </w:r>
          </w:p>
        </w:tc>
      </w:tr>
      <w:tr>
        <w:trPr>
          <w:trHeight w:val="165"/>
        </w:trPr>
        <w:tc>
          <w:tcPr>
            <w:tcW w:w="4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56"/>
        </w:trPr>
        <w:tc>
          <w:tcPr>
            <w:tcW w:w="4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3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5"/>
        </w:trPr>
        <w:tc>
          <w:tcPr>
            <w:tcW w:w="4320" w:type="dxa"/>
            <w:vAlign w:val="bottom"/>
          </w:tcPr>
          <w:p>
            <w:pPr>
              <w:ind w:left="80"/>
              <w:spacing w:after="0"/>
              <w:rPr>
                <w:sz w:val="20"/>
                <w:szCs w:val="20"/>
                <w:color w:val="auto"/>
              </w:rPr>
            </w:pPr>
            <w:r>
              <w:rPr>
                <w:rFonts w:ascii="Arial" w:cs="Arial" w:eastAsia="Arial" w:hAnsi="Arial"/>
                <w:sz w:val="12"/>
                <w:szCs w:val="12"/>
                <w:color w:val="auto"/>
              </w:rPr>
              <w:t>Lease liabilities, current</w:t>
            </w:r>
          </w:p>
        </w:tc>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6"/>
        </w:trPr>
        <w:tc>
          <w:tcPr>
            <w:tcW w:w="4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Operating lease liabilities, current portion</w:t>
            </w: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3"/>
              </w:rPr>
              <w:t>Accounts payable and accrued liabilities</w:t>
            </w: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3,760</w:t>
            </w:r>
          </w:p>
        </w:tc>
      </w:tr>
      <w:tr>
        <w:trPr>
          <w:trHeight w:val="155"/>
        </w:trPr>
        <w:tc>
          <w:tcPr>
            <w:tcW w:w="4320" w:type="dxa"/>
            <w:vAlign w:val="bottom"/>
          </w:tcPr>
          <w:p>
            <w:pPr>
              <w:ind w:left="240"/>
              <w:spacing w:after="0"/>
              <w:rPr>
                <w:sz w:val="20"/>
                <w:szCs w:val="20"/>
                <w:color w:val="auto"/>
              </w:rPr>
            </w:pPr>
            <w:r>
              <w:rPr>
                <w:rFonts w:ascii="Arial" w:cs="Arial" w:eastAsia="Arial" w:hAnsi="Arial"/>
                <w:sz w:val="12"/>
                <w:szCs w:val="12"/>
                <w:color w:val="auto"/>
              </w:rPr>
              <w:t>Finance lease liability, current portion</w:t>
            </w:r>
          </w:p>
        </w:tc>
        <w:tc>
          <w:tcPr>
            <w:tcW w:w="3420" w:type="dxa"/>
            <w:vAlign w:val="bottom"/>
            <w:gridSpan w:val="2"/>
          </w:tcPr>
          <w:p>
            <w:pPr>
              <w:jc w:val="center"/>
              <w:ind w:right="80"/>
              <w:spacing w:after="0"/>
              <w:rPr>
                <w:sz w:val="20"/>
                <w:szCs w:val="20"/>
                <w:color w:val="auto"/>
              </w:rPr>
            </w:pPr>
            <w:r>
              <w:rPr>
                <w:rFonts w:ascii="Arial" w:cs="Arial" w:eastAsia="Arial" w:hAnsi="Arial"/>
                <w:sz w:val="12"/>
                <w:szCs w:val="12"/>
                <w:color w:val="auto"/>
                <w:w w:val="95"/>
              </w:rPr>
              <w:t>Other current liabilities</w:t>
            </w:r>
          </w:p>
        </w:tc>
        <w:tc>
          <w:tcPr>
            <w:tcW w:w="280" w:type="dxa"/>
            <w:vAlign w:val="bottom"/>
          </w:tcPr>
          <w:p>
            <w:pPr>
              <w:spacing w:after="0"/>
              <w:rPr>
                <w:sz w:val="13"/>
                <w:szCs w:val="13"/>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3,761</w:t>
            </w:r>
          </w:p>
        </w:tc>
      </w:tr>
      <w:tr>
        <w:trPr>
          <w:trHeight w:val="156"/>
        </w:trPr>
        <w:tc>
          <w:tcPr>
            <w:tcW w:w="4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Lease liabilities, long term</w:t>
            </w:r>
          </w:p>
        </w:tc>
        <w:tc>
          <w:tcPr>
            <w:tcW w:w="3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5"/>
        </w:trPr>
        <w:tc>
          <w:tcPr>
            <w:tcW w:w="4320" w:type="dxa"/>
            <w:vAlign w:val="bottom"/>
          </w:tcPr>
          <w:p>
            <w:pPr>
              <w:ind w:left="220"/>
              <w:spacing w:after="0"/>
              <w:rPr>
                <w:sz w:val="20"/>
                <w:szCs w:val="20"/>
                <w:color w:val="auto"/>
              </w:rPr>
            </w:pPr>
            <w:r>
              <w:rPr>
                <w:rFonts w:ascii="Arial" w:cs="Arial" w:eastAsia="Arial" w:hAnsi="Arial"/>
                <w:sz w:val="12"/>
                <w:szCs w:val="12"/>
                <w:color w:val="auto"/>
              </w:rPr>
              <w:t>Operating lease liabilities, long term</w:t>
            </w:r>
          </w:p>
        </w:tc>
        <w:tc>
          <w:tcPr>
            <w:tcW w:w="342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Operating lease liabilities, long term</w:t>
            </w: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37,261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28,579</w:t>
            </w:r>
          </w:p>
        </w:tc>
      </w:tr>
      <w:tr>
        <w:trPr>
          <w:trHeight w:val="156"/>
        </w:trPr>
        <w:tc>
          <w:tcPr>
            <w:tcW w:w="4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Finance lease liability, long term</w:t>
            </w:r>
          </w:p>
        </w:tc>
        <w:tc>
          <w:tcPr>
            <w:tcW w:w="34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6"/>
              </w:rPr>
              <w:t>Other liabilities</w:t>
            </w:r>
          </w:p>
        </w:tc>
        <w:tc>
          <w:tcPr>
            <w:tcW w:w="2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20,235</w:t>
            </w:r>
          </w:p>
        </w:tc>
      </w:tr>
      <w:tr>
        <w:trPr>
          <w:trHeight w:val="144"/>
        </w:trPr>
        <w:tc>
          <w:tcPr>
            <w:tcW w:w="4320" w:type="dxa"/>
            <w:vAlign w:val="bottom"/>
          </w:tcPr>
          <w:p>
            <w:pPr>
              <w:spacing w:after="0" w:line="135" w:lineRule="exact"/>
              <w:rPr>
                <w:sz w:val="20"/>
                <w:szCs w:val="20"/>
                <w:color w:val="auto"/>
              </w:rPr>
            </w:pPr>
            <w:r>
              <w:rPr>
                <w:rFonts w:ascii="Arial" w:cs="Arial" w:eastAsia="Arial" w:hAnsi="Arial"/>
                <w:sz w:val="12"/>
                <w:szCs w:val="12"/>
                <w:color w:val="auto"/>
              </w:rPr>
              <w:t>Total lease liabilities</w:t>
            </w:r>
          </w:p>
        </w:tc>
        <w:tc>
          <w:tcPr>
            <w:tcW w:w="3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43,165</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56,335</w:t>
            </w:r>
          </w:p>
        </w:tc>
      </w:tr>
      <w:tr>
        <w:trPr>
          <w:trHeight w:val="20"/>
        </w:trPr>
        <w:tc>
          <w:tcPr>
            <w:tcW w:w="4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67" w:hanging="267"/>
        <w:spacing w:after="0"/>
        <w:tabs>
          <w:tab w:leader="none" w:pos="267"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Composition of Other Balance Sheet Items</w:t>
      </w:r>
    </w:p>
    <w:p>
      <w:pPr>
        <w:spacing w:after="0" w:line="131"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details the composition of other balance sheet items (dollars in thousands for amounts in tables):</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Accounts Receivables</w:t>
      </w:r>
    </w:p>
    <w:p>
      <w:pPr>
        <w:spacing w:after="0" w:line="137" w:lineRule="exact"/>
        <w:rPr>
          <w:sz w:val="20"/>
          <w:szCs w:val="20"/>
          <w:color w:val="auto"/>
        </w:rPr>
      </w:pPr>
    </w:p>
    <w:p>
      <w:pPr>
        <w:ind w:left="7" w:right="160" w:firstLine="439"/>
        <w:spacing w:after="0" w:line="269" w:lineRule="auto"/>
        <w:rPr>
          <w:sz w:val="20"/>
          <w:szCs w:val="20"/>
          <w:color w:val="auto"/>
        </w:rPr>
      </w:pPr>
      <w:r>
        <w:rPr>
          <w:rFonts w:ascii="Arial" w:cs="Arial" w:eastAsia="Arial" w:hAnsi="Arial"/>
          <w:sz w:val="12"/>
          <w:szCs w:val="12"/>
          <w:color w:val="auto"/>
        </w:rPr>
        <w:t>As of September 30, 2021 and December 31, 2020, the Company has reduced accounts receivable by approximately $11.2 million and $11.4 million, respectively. Prompt pay discount and contractual service fees, which were originally recorded as reduction to revenues, represents estimated amounts not expected to be paid by our customers. The Company's customers are primarily pharmaceutical wholesalers and distributors and specialty pharmacies. Receivables from our three major customers account for more than 85% of our total receivables.</w:t>
      </w:r>
    </w:p>
    <w:p>
      <w:pPr>
        <w:spacing w:after="0" w:line="37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22" w:name="page23"/>
    <w:bookmarkEnd w:id="22"/>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Inventories</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1180" w:type="dxa"/>
            <w:vAlign w:val="bottom"/>
          </w:tcPr>
          <w:p>
            <w:pPr>
              <w:jc w:val="center"/>
              <w:ind w:left="406"/>
              <w:spacing w:after="0"/>
              <w:rPr>
                <w:sz w:val="20"/>
                <w:szCs w:val="20"/>
                <w:color w:val="auto"/>
              </w:rPr>
            </w:pPr>
            <w:r>
              <w:rPr>
                <w:rFonts w:ascii="Arial" w:cs="Arial" w:eastAsia="Arial" w:hAnsi="Arial"/>
                <w:sz w:val="10"/>
                <w:szCs w:val="10"/>
                <w:b w:val="1"/>
                <w:bCs w:val="1"/>
                <w:color w:val="auto"/>
                <w:w w:val="87"/>
              </w:rPr>
              <w:t>September 30,</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jc w:val="right"/>
              <w:ind w:right="483"/>
              <w:spacing w:after="0"/>
              <w:rPr>
                <w:sz w:val="20"/>
                <w:szCs w:val="20"/>
                <w:color w:val="auto"/>
              </w:rPr>
            </w:pPr>
            <w:r>
              <w:rPr>
                <w:rFonts w:ascii="Arial" w:cs="Arial" w:eastAsia="Arial" w:hAnsi="Arial"/>
                <w:sz w:val="10"/>
                <w:szCs w:val="10"/>
                <w:b w:val="1"/>
                <w:bCs w:val="1"/>
                <w:color w:val="auto"/>
              </w:rPr>
              <w:t>December 31,</w:t>
            </w:r>
          </w:p>
        </w:tc>
      </w:tr>
      <w:tr>
        <w:trPr>
          <w:trHeight w:val="127"/>
        </w:trPr>
        <w:tc>
          <w:tcPr>
            <w:tcW w:w="7960" w:type="dxa"/>
            <w:vAlign w:val="bottom"/>
          </w:tcPr>
          <w:p>
            <w:pPr>
              <w:spacing w:after="0"/>
              <w:rPr>
                <w:sz w:val="11"/>
                <w:szCs w:val="11"/>
                <w:color w:val="auto"/>
              </w:rPr>
            </w:pPr>
          </w:p>
        </w:tc>
        <w:tc>
          <w:tcPr>
            <w:tcW w:w="1180" w:type="dxa"/>
            <w:vAlign w:val="bottom"/>
            <w:tcBorders>
              <w:bottom w:val="single" w:sz="8" w:color="auto"/>
            </w:tcBorders>
          </w:tcPr>
          <w:p>
            <w:pPr>
              <w:jc w:val="center"/>
              <w:ind w:left="406"/>
              <w:spacing w:after="0"/>
              <w:rPr>
                <w:sz w:val="20"/>
                <w:szCs w:val="20"/>
                <w:color w:val="auto"/>
              </w:rPr>
            </w:pPr>
            <w:r>
              <w:rPr>
                <w:rFonts w:ascii="Arial" w:cs="Arial" w:eastAsia="Arial" w:hAnsi="Arial"/>
                <w:sz w:val="10"/>
                <w:szCs w:val="10"/>
                <w:b w:val="1"/>
                <w:bCs w:val="1"/>
                <w:color w:val="auto"/>
                <w:w w:val="89"/>
              </w:rPr>
              <w:t>2021</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2020</w:t>
            </w:r>
          </w:p>
        </w:tc>
      </w:tr>
      <w:tr>
        <w:trPr>
          <w:trHeight w:val="117"/>
        </w:trPr>
        <w:tc>
          <w:tcPr>
            <w:tcW w:w="7960" w:type="dxa"/>
            <w:vAlign w:val="bottom"/>
          </w:tcPr>
          <w:p>
            <w:pPr>
              <w:spacing w:after="0"/>
              <w:rPr>
                <w:sz w:val="10"/>
                <w:szCs w:val="10"/>
                <w:color w:val="auto"/>
              </w:rPr>
            </w:pPr>
          </w:p>
        </w:tc>
        <w:tc>
          <w:tcPr>
            <w:tcW w:w="1180" w:type="dxa"/>
            <w:vAlign w:val="bottom"/>
          </w:tcPr>
          <w:p>
            <w:pPr>
              <w:jc w:val="center"/>
              <w:ind w:left="386"/>
              <w:spacing w:after="0"/>
              <w:rPr>
                <w:sz w:val="20"/>
                <w:szCs w:val="20"/>
                <w:color w:val="auto"/>
              </w:rPr>
            </w:pPr>
            <w:r>
              <w:rPr>
                <w:rFonts w:ascii="Arial" w:cs="Arial" w:eastAsia="Arial" w:hAnsi="Arial"/>
                <w:sz w:val="10"/>
                <w:szCs w:val="10"/>
                <w:b w:val="1"/>
                <w:bCs w:val="1"/>
                <w:color w:val="auto"/>
                <w:w w:val="91"/>
              </w:rPr>
              <w:t>(unaudited)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Raw materials</w:t>
            </w:r>
          </w:p>
        </w:tc>
        <w:tc>
          <w:tcPr>
            <w:tcW w:w="1180" w:type="dxa"/>
            <w:vAlign w:val="bottom"/>
            <w:shd w:val="clear" w:color="auto" w:fill="CCEEFF"/>
          </w:tcPr>
          <w:p>
            <w:pPr>
              <w:jc w:val="right"/>
              <w:ind w:right="1046"/>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9,710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22,208</w:t>
            </w:r>
          </w:p>
        </w:tc>
      </w:tr>
      <w:tr>
        <w:trPr>
          <w:trHeight w:val="155"/>
        </w:trPr>
        <w:tc>
          <w:tcPr>
            <w:tcW w:w="7960" w:type="dxa"/>
            <w:vAlign w:val="bottom"/>
          </w:tcPr>
          <w:p>
            <w:pPr>
              <w:spacing w:after="0"/>
              <w:rPr>
                <w:sz w:val="20"/>
                <w:szCs w:val="20"/>
                <w:color w:val="auto"/>
              </w:rPr>
            </w:pPr>
            <w:r>
              <w:rPr>
                <w:rFonts w:ascii="Arial" w:cs="Arial" w:eastAsia="Arial" w:hAnsi="Arial"/>
                <w:sz w:val="12"/>
                <w:szCs w:val="12"/>
                <w:color w:val="auto"/>
              </w:rPr>
              <w:t>Work in process</w:t>
            </w: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37,910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8,985</w:t>
            </w:r>
          </w:p>
        </w:tc>
      </w:tr>
      <w:tr>
        <w:trPr>
          <w:trHeight w:val="156"/>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11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12,535</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17,132</w:t>
            </w:r>
          </w:p>
        </w:tc>
      </w:tr>
      <w:tr>
        <w:trPr>
          <w:trHeight w:val="144"/>
        </w:trPr>
        <w:tc>
          <w:tcPr>
            <w:tcW w:w="7960" w:type="dxa"/>
            <w:vAlign w:val="bottom"/>
          </w:tcPr>
          <w:p>
            <w:pPr>
              <w:spacing w:after="0" w:line="135" w:lineRule="exact"/>
              <w:rPr>
                <w:sz w:val="20"/>
                <w:szCs w:val="20"/>
                <w:color w:val="auto"/>
              </w:rPr>
            </w:pPr>
            <w:r>
              <w:rPr>
                <w:rFonts w:ascii="Arial" w:cs="Arial" w:eastAsia="Arial" w:hAnsi="Arial"/>
                <w:sz w:val="12"/>
                <w:szCs w:val="12"/>
                <w:color w:val="auto"/>
              </w:rPr>
              <w:t>Total</w:t>
            </w:r>
          </w:p>
        </w:tc>
        <w:tc>
          <w:tcPr>
            <w:tcW w:w="1180" w:type="dxa"/>
            <w:vAlign w:val="bottom"/>
            <w:tcBorders>
              <w:bottom w:val="single" w:sz="8" w:color="auto"/>
            </w:tcBorders>
          </w:tcPr>
          <w:p>
            <w:pPr>
              <w:jc w:val="right"/>
              <w:ind w:right="1046"/>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60,155</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48,325</w:t>
            </w:r>
          </w:p>
        </w:tc>
      </w:tr>
      <w:tr>
        <w:trPr>
          <w:trHeight w:val="20"/>
        </w:trPr>
        <w:tc>
          <w:tcPr>
            <w:tcW w:w="7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7" w:firstLine="439"/>
        <w:spacing w:after="0" w:line="480" w:lineRule="auto"/>
        <w:rPr>
          <w:sz w:val="20"/>
          <w:szCs w:val="20"/>
          <w:color w:val="auto"/>
        </w:rPr>
      </w:pPr>
      <w:r>
        <w:rPr>
          <w:rFonts w:ascii="Arial" w:cs="Arial" w:eastAsia="Arial" w:hAnsi="Arial"/>
          <w:sz w:val="12"/>
          <w:szCs w:val="12"/>
          <w:color w:val="auto"/>
        </w:rPr>
        <w:t xml:space="preserve">In May 2021, the Company launched Qelbree for the treatment of ADHD in pediatric patients 6 to 17 years of age in the U.S. Capitalized pre-launch inventory costs for Qelbree were $19.1 million as of December 31, 2020. </w:t>
      </w:r>
      <w:r>
        <w:rPr>
          <w:rFonts w:ascii="Arial" w:cs="Arial" w:eastAsia="Arial" w:hAnsi="Arial"/>
          <w:sz w:val="12"/>
          <w:szCs w:val="12"/>
          <w:i w:val="1"/>
          <w:iCs w:val="1"/>
          <w:color w:val="auto"/>
        </w:rPr>
        <w:t>Property and Equipment</w:t>
      </w:r>
    </w:p>
    <w:tbl>
      <w:tblPr>
        <w:tblLayout w:type="fixed"/>
        <w:tblInd w:w="7" w:type="dxa"/>
        <w:tblCellMar>
          <w:top w:w="0" w:type="dxa"/>
          <w:left w:w="0" w:type="dxa"/>
          <w:bottom w:w="0" w:type="dxa"/>
          <w:right w:w="0" w:type="dxa"/>
        </w:tblCellMar>
      </w:tblPr>
      <w:tr>
        <w:trPr>
          <w:trHeight w:val="97"/>
        </w:trPr>
        <w:tc>
          <w:tcPr>
            <w:tcW w:w="7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gridSpan w:val="2"/>
          </w:tcPr>
          <w:p>
            <w:pPr>
              <w:jc w:val="center"/>
              <w:ind w:right="380"/>
              <w:spacing w:after="0" w:line="98" w:lineRule="exact"/>
              <w:rPr>
                <w:sz w:val="20"/>
                <w:szCs w:val="20"/>
                <w:color w:val="auto"/>
              </w:rPr>
            </w:pPr>
            <w:r>
              <w:rPr>
                <w:rFonts w:ascii="Arial" w:cs="Arial" w:eastAsia="Arial" w:hAnsi="Arial"/>
                <w:sz w:val="10"/>
                <w:szCs w:val="10"/>
                <w:b w:val="1"/>
                <w:bCs w:val="1"/>
                <w:color w:val="auto"/>
                <w:w w:val="87"/>
              </w:rPr>
              <w:t>September 30,</w:t>
            </w:r>
          </w:p>
        </w:tc>
        <w:tc>
          <w:tcPr>
            <w:tcW w:w="300" w:type="dxa"/>
            <w:vAlign w:val="bottom"/>
          </w:tcPr>
          <w:p>
            <w:pPr>
              <w:spacing w:after="0"/>
              <w:rPr>
                <w:sz w:val="8"/>
                <w:szCs w:val="8"/>
                <w:color w:val="auto"/>
              </w:rPr>
            </w:pPr>
          </w:p>
        </w:tc>
        <w:tc>
          <w:tcPr>
            <w:tcW w:w="1320" w:type="dxa"/>
            <w:vAlign w:val="bottom"/>
          </w:tcPr>
          <w:p>
            <w:pPr>
              <w:jc w:val="right"/>
              <w:ind w:right="481"/>
              <w:spacing w:after="0" w:line="98" w:lineRule="exact"/>
              <w:rPr>
                <w:sz w:val="20"/>
                <w:szCs w:val="20"/>
                <w:color w:val="auto"/>
              </w:rPr>
            </w:pPr>
            <w:r>
              <w:rPr>
                <w:rFonts w:ascii="Arial" w:cs="Arial" w:eastAsia="Arial" w:hAnsi="Arial"/>
                <w:sz w:val="10"/>
                <w:szCs w:val="10"/>
                <w:b w:val="1"/>
                <w:bCs w:val="1"/>
                <w:color w:val="auto"/>
              </w:rPr>
              <w:t>December 31,</w:t>
            </w:r>
          </w:p>
        </w:tc>
      </w:tr>
      <w:tr>
        <w:trPr>
          <w:trHeight w:val="127"/>
        </w:trPr>
        <w:tc>
          <w:tcPr>
            <w:tcW w:w="79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222"/>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61"/>
              <w:spacing w:after="0"/>
              <w:rPr>
                <w:sz w:val="20"/>
                <w:szCs w:val="20"/>
                <w:color w:val="auto"/>
              </w:rPr>
            </w:pPr>
            <w:r>
              <w:rPr>
                <w:rFonts w:ascii="Arial" w:cs="Arial" w:eastAsia="Arial" w:hAnsi="Arial"/>
                <w:sz w:val="10"/>
                <w:szCs w:val="10"/>
                <w:b w:val="1"/>
                <w:bCs w:val="1"/>
                <w:color w:val="auto"/>
              </w:rPr>
              <w:t>2020</w:t>
            </w:r>
          </w:p>
        </w:tc>
      </w:tr>
      <w:tr>
        <w:trPr>
          <w:trHeight w:val="117"/>
        </w:trPr>
        <w:tc>
          <w:tcPr>
            <w:tcW w:w="7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jc w:val="center"/>
              <w:ind w:right="242"/>
              <w:spacing w:after="0"/>
              <w:rPr>
                <w:sz w:val="20"/>
                <w:szCs w:val="20"/>
                <w:color w:val="auto"/>
              </w:rPr>
            </w:pPr>
            <w:r>
              <w:rPr>
                <w:rFonts w:ascii="Arial" w:cs="Arial" w:eastAsia="Arial" w:hAnsi="Arial"/>
                <w:sz w:val="10"/>
                <w:szCs w:val="10"/>
                <w:b w:val="1"/>
                <w:bCs w:val="1"/>
                <w:color w:val="auto"/>
                <w:w w:val="91"/>
              </w:rPr>
              <w:t>(unaudited)</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Lab equipment and furniture</w:t>
            </w: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12,526</w:t>
            </w:r>
          </w:p>
        </w:tc>
      </w:tr>
      <w:tr>
        <w:trPr>
          <w:trHeight w:val="155"/>
        </w:trPr>
        <w:tc>
          <w:tcPr>
            <w:tcW w:w="7960" w:type="dxa"/>
            <w:vAlign w:val="bottom"/>
          </w:tcPr>
          <w:p>
            <w:pPr>
              <w:spacing w:after="0"/>
              <w:rPr>
                <w:sz w:val="20"/>
                <w:szCs w:val="20"/>
                <w:color w:val="auto"/>
              </w:rPr>
            </w:pPr>
            <w:r>
              <w:rPr>
                <w:rFonts w:ascii="Arial" w:cs="Arial" w:eastAsia="Arial" w:hAnsi="Arial"/>
                <w:sz w:val="12"/>
                <w:szCs w:val="12"/>
                <w:color w:val="auto"/>
              </w:rPr>
              <w:t>Leasehold improvements</w:t>
            </w: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12,453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15,183</w:t>
            </w:r>
          </w:p>
        </w:tc>
      </w:tr>
      <w:tr>
        <w:trPr>
          <w:trHeight w:val="156"/>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Software</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2,295</w:t>
            </w:r>
          </w:p>
        </w:tc>
      </w:tr>
      <w:tr>
        <w:trPr>
          <w:trHeight w:val="156"/>
        </w:trPr>
        <w:tc>
          <w:tcPr>
            <w:tcW w:w="7960" w:type="dxa"/>
            <w:vAlign w:val="bottom"/>
          </w:tcPr>
          <w:p>
            <w:pPr>
              <w:spacing w:after="0" w:line="156" w:lineRule="exact"/>
              <w:rPr>
                <w:sz w:val="20"/>
                <w:szCs w:val="20"/>
                <w:color w:val="auto"/>
              </w:rPr>
            </w:pPr>
            <w:r>
              <w:rPr>
                <w:rFonts w:ascii="Arial" w:cs="Arial" w:eastAsia="Arial" w:hAnsi="Arial"/>
                <w:sz w:val="12"/>
                <w:szCs w:val="12"/>
                <w:color w:val="auto"/>
              </w:rPr>
              <w:t xml:space="preserve">Finance lease assets </w:t>
            </w:r>
            <w:r>
              <w:rPr>
                <w:rFonts w:ascii="Arial" w:cs="Arial" w:eastAsia="Arial" w:hAnsi="Arial"/>
                <w:sz w:val="15"/>
                <w:szCs w:val="15"/>
                <w:color w:val="auto"/>
                <w:vertAlign w:val="superscript"/>
              </w:rPr>
              <w:t>(1)</w:t>
            </w:r>
          </w:p>
        </w:tc>
        <w:tc>
          <w:tcPr>
            <w:tcW w:w="3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22,747</w:t>
            </w:r>
          </w:p>
        </w:tc>
      </w:tr>
      <w:tr>
        <w:trPr>
          <w:trHeight w:val="156"/>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Computer equipment</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2,113</w:t>
            </w:r>
          </w:p>
        </w:tc>
      </w:tr>
      <w:tr>
        <w:trPr>
          <w:trHeight w:val="155"/>
        </w:trPr>
        <w:tc>
          <w:tcPr>
            <w:tcW w:w="79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Construction-in-progress</w:t>
            </w: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45"/>
        </w:trPr>
        <w:tc>
          <w:tcPr>
            <w:tcW w:w="7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27,575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54,864</w:t>
            </w:r>
          </w:p>
        </w:tc>
      </w:tr>
      <w:tr>
        <w:trPr>
          <w:trHeight w:val="155"/>
        </w:trPr>
        <w:tc>
          <w:tcPr>
            <w:tcW w:w="79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accumulated depreciation and amortization</w:t>
            </w: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(11,104)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(17,040)</w:t>
            </w:r>
          </w:p>
        </w:tc>
      </w:tr>
      <w:tr>
        <w:trPr>
          <w:trHeight w:val="162"/>
        </w:trPr>
        <w:tc>
          <w:tcPr>
            <w:tcW w:w="796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16,471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37,824</w:t>
            </w:r>
          </w:p>
        </w:tc>
      </w:tr>
    </w:tbl>
    <w:p>
      <w:pPr>
        <w:spacing w:after="0" w:line="55"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_______________________________</w:t>
      </w:r>
    </w:p>
    <w:p>
      <w:pPr>
        <w:spacing w:after="0" w:line="14" w:lineRule="exact"/>
        <w:rPr>
          <w:sz w:val="20"/>
          <w:szCs w:val="20"/>
          <w:color w:val="auto"/>
        </w:rPr>
      </w:pPr>
    </w:p>
    <w:p>
      <w:pPr>
        <w:ind w:left="127" w:hanging="127"/>
        <w:spacing w:after="0"/>
        <w:tabs>
          <w:tab w:leader="none" w:pos="127" w:val="left"/>
        </w:tabs>
        <w:numPr>
          <w:ilvl w:val="0"/>
          <w:numId w:val="20"/>
        </w:numPr>
        <w:rPr>
          <w:rFonts w:ascii="Arial" w:cs="Arial" w:eastAsia="Arial" w:hAnsi="Arial"/>
          <w:sz w:val="15"/>
          <w:szCs w:val="15"/>
          <w:color w:val="auto"/>
          <w:vertAlign w:val="superscript"/>
        </w:rPr>
      </w:pPr>
      <w:r>
        <w:rPr>
          <w:rFonts w:ascii="Arial" w:cs="Arial" w:eastAsia="Arial" w:hAnsi="Arial"/>
          <w:sz w:val="10"/>
          <w:szCs w:val="10"/>
          <w:color w:val="auto"/>
        </w:rPr>
        <w:t xml:space="preserve">Refer to Note 12, </w:t>
      </w:r>
      <w:r>
        <w:rPr>
          <w:rFonts w:ascii="Arial" w:cs="Arial" w:eastAsia="Arial" w:hAnsi="Arial"/>
          <w:sz w:val="10"/>
          <w:szCs w:val="10"/>
          <w:i w:val="1"/>
          <w:iCs w:val="1"/>
          <w:color w:val="auto"/>
        </w:rPr>
        <w:t>Leases</w:t>
      </w:r>
      <w:r>
        <w:rPr>
          <w:rFonts w:ascii="Arial" w:cs="Arial" w:eastAsia="Arial" w:hAnsi="Arial"/>
          <w:sz w:val="10"/>
          <w:szCs w:val="10"/>
          <w:color w:val="auto"/>
        </w:rPr>
        <w:t>.</w:t>
      </w:r>
    </w:p>
    <w:p>
      <w:pPr>
        <w:spacing w:after="0" w:line="106" w:lineRule="exact"/>
        <w:rPr>
          <w:sz w:val="20"/>
          <w:szCs w:val="20"/>
          <w:color w:val="auto"/>
        </w:rPr>
      </w:pPr>
    </w:p>
    <w:p>
      <w:pPr>
        <w:ind w:left="7" w:right="160" w:firstLine="439"/>
        <w:spacing w:after="0" w:line="331" w:lineRule="auto"/>
        <w:rPr>
          <w:sz w:val="20"/>
          <w:szCs w:val="20"/>
          <w:color w:val="auto"/>
        </w:rPr>
      </w:pPr>
      <w:r>
        <w:rPr>
          <w:rFonts w:ascii="Arial" w:cs="Arial" w:eastAsia="Arial" w:hAnsi="Arial"/>
          <w:sz w:val="11"/>
          <w:szCs w:val="11"/>
          <w:color w:val="auto"/>
        </w:rPr>
        <w:t>Depreciation and amortization expense on property and equipment was approximately $0.6 million and $1.9 million for the three and nine months ended September 30, 2021, respectively, and approximately $0.7 million and $1.8 million for the three and nine months ended September 30, 2020, respectively. The Company retired certain fully depreciated property and equipment for the nine months ended September 30, 2021.</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Accounts Payable and Accrued Liabilities</w:t>
      </w:r>
    </w:p>
    <w:p>
      <w:pPr>
        <w:spacing w:after="0" w:line="131"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1180" w:type="dxa"/>
            <w:vAlign w:val="bottom"/>
          </w:tcPr>
          <w:p>
            <w:pPr>
              <w:jc w:val="center"/>
              <w:ind w:left="406"/>
              <w:spacing w:after="0"/>
              <w:rPr>
                <w:sz w:val="20"/>
                <w:szCs w:val="20"/>
                <w:color w:val="auto"/>
              </w:rPr>
            </w:pPr>
            <w:r>
              <w:rPr>
                <w:rFonts w:ascii="Arial" w:cs="Arial" w:eastAsia="Arial" w:hAnsi="Arial"/>
                <w:sz w:val="10"/>
                <w:szCs w:val="10"/>
                <w:b w:val="1"/>
                <w:bCs w:val="1"/>
                <w:color w:val="auto"/>
                <w:w w:val="87"/>
              </w:rPr>
              <w:t>September 30,</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jc w:val="right"/>
              <w:ind w:right="481"/>
              <w:spacing w:after="0"/>
              <w:rPr>
                <w:sz w:val="20"/>
                <w:szCs w:val="20"/>
                <w:color w:val="auto"/>
              </w:rPr>
            </w:pPr>
            <w:r>
              <w:rPr>
                <w:rFonts w:ascii="Arial" w:cs="Arial" w:eastAsia="Arial" w:hAnsi="Arial"/>
                <w:sz w:val="10"/>
                <w:szCs w:val="10"/>
                <w:b w:val="1"/>
                <w:bCs w:val="1"/>
                <w:color w:val="auto"/>
              </w:rPr>
              <w:t>December 31,</w:t>
            </w:r>
          </w:p>
        </w:tc>
      </w:tr>
      <w:tr>
        <w:trPr>
          <w:trHeight w:val="127"/>
        </w:trPr>
        <w:tc>
          <w:tcPr>
            <w:tcW w:w="7960" w:type="dxa"/>
            <w:vAlign w:val="bottom"/>
          </w:tcPr>
          <w:p>
            <w:pPr>
              <w:spacing w:after="0"/>
              <w:rPr>
                <w:sz w:val="11"/>
                <w:szCs w:val="11"/>
                <w:color w:val="auto"/>
              </w:rPr>
            </w:pPr>
          </w:p>
        </w:tc>
        <w:tc>
          <w:tcPr>
            <w:tcW w:w="1180" w:type="dxa"/>
            <w:vAlign w:val="bottom"/>
            <w:tcBorders>
              <w:bottom w:val="single" w:sz="8" w:color="auto"/>
            </w:tcBorders>
          </w:tcPr>
          <w:p>
            <w:pPr>
              <w:jc w:val="center"/>
              <w:ind w:left="406"/>
              <w:spacing w:after="0"/>
              <w:rPr>
                <w:sz w:val="20"/>
                <w:szCs w:val="20"/>
                <w:color w:val="auto"/>
              </w:rPr>
            </w:pPr>
            <w:r>
              <w:rPr>
                <w:rFonts w:ascii="Arial" w:cs="Arial" w:eastAsia="Arial" w:hAnsi="Arial"/>
                <w:sz w:val="10"/>
                <w:szCs w:val="10"/>
                <w:b w:val="1"/>
                <w:bCs w:val="1"/>
                <w:color w:val="auto"/>
                <w:w w:val="89"/>
              </w:rPr>
              <w:t>2021</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61"/>
              <w:spacing w:after="0"/>
              <w:rPr>
                <w:sz w:val="20"/>
                <w:szCs w:val="20"/>
                <w:color w:val="auto"/>
              </w:rPr>
            </w:pPr>
            <w:r>
              <w:rPr>
                <w:rFonts w:ascii="Arial" w:cs="Arial" w:eastAsia="Arial" w:hAnsi="Arial"/>
                <w:sz w:val="10"/>
                <w:szCs w:val="10"/>
                <w:b w:val="1"/>
                <w:bCs w:val="1"/>
                <w:color w:val="auto"/>
              </w:rPr>
              <w:t>2020</w:t>
            </w:r>
          </w:p>
        </w:tc>
      </w:tr>
      <w:tr>
        <w:trPr>
          <w:trHeight w:val="117"/>
        </w:trPr>
        <w:tc>
          <w:tcPr>
            <w:tcW w:w="7960" w:type="dxa"/>
            <w:vAlign w:val="bottom"/>
          </w:tcPr>
          <w:p>
            <w:pPr>
              <w:spacing w:after="0"/>
              <w:rPr>
                <w:sz w:val="10"/>
                <w:szCs w:val="10"/>
                <w:color w:val="auto"/>
              </w:rPr>
            </w:pPr>
          </w:p>
        </w:tc>
        <w:tc>
          <w:tcPr>
            <w:tcW w:w="1180" w:type="dxa"/>
            <w:vAlign w:val="bottom"/>
          </w:tcPr>
          <w:p>
            <w:pPr>
              <w:jc w:val="center"/>
              <w:ind w:left="386"/>
              <w:spacing w:after="0"/>
              <w:rPr>
                <w:sz w:val="20"/>
                <w:szCs w:val="20"/>
                <w:color w:val="auto"/>
              </w:rPr>
            </w:pPr>
            <w:r>
              <w:rPr>
                <w:rFonts w:ascii="Arial" w:cs="Arial" w:eastAsia="Arial" w:hAnsi="Arial"/>
                <w:sz w:val="10"/>
                <w:szCs w:val="10"/>
                <w:b w:val="1"/>
                <w:bCs w:val="1"/>
                <w:color w:val="auto"/>
                <w:w w:val="91"/>
              </w:rPr>
              <w:t>(unaudited)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1180" w:type="dxa"/>
            <w:vAlign w:val="bottom"/>
            <w:shd w:val="clear" w:color="auto" w:fill="CCEEFF"/>
          </w:tcPr>
          <w:p>
            <w:pPr>
              <w:jc w:val="right"/>
              <w:ind w:right="1046"/>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6,147</w:t>
            </w:r>
          </w:p>
        </w:tc>
      </w:tr>
      <w:tr>
        <w:trPr>
          <w:trHeight w:val="155"/>
        </w:trPr>
        <w:tc>
          <w:tcPr>
            <w:tcW w:w="7960" w:type="dxa"/>
            <w:vAlign w:val="bottom"/>
          </w:tcPr>
          <w:p>
            <w:pPr>
              <w:spacing w:after="0"/>
              <w:rPr>
                <w:sz w:val="20"/>
                <w:szCs w:val="20"/>
                <w:color w:val="auto"/>
              </w:rPr>
            </w:pPr>
            <w:r>
              <w:rPr>
                <w:rFonts w:ascii="Arial" w:cs="Arial" w:eastAsia="Arial" w:hAnsi="Arial"/>
                <w:sz w:val="12"/>
                <w:szCs w:val="12"/>
                <w:color w:val="auto"/>
              </w:rPr>
              <w:t>Accrued compensation</w:t>
            </w: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13,426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16,008</w:t>
            </w:r>
          </w:p>
        </w:tc>
      </w:tr>
      <w:tr>
        <w:trPr>
          <w:trHeight w:val="156"/>
        </w:trPr>
        <w:tc>
          <w:tcPr>
            <w:tcW w:w="79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Accrued royalties </w:t>
            </w:r>
            <w:r>
              <w:rPr>
                <w:rFonts w:ascii="Arial" w:cs="Arial" w:eastAsia="Arial" w:hAnsi="Arial"/>
                <w:sz w:val="15"/>
                <w:szCs w:val="15"/>
                <w:color w:val="auto"/>
                <w:vertAlign w:val="superscript"/>
              </w:rPr>
              <w:t>(1)</w:t>
            </w: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12,781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13,890</w:t>
            </w:r>
          </w:p>
        </w:tc>
      </w:tr>
      <w:tr>
        <w:trPr>
          <w:trHeight w:val="155"/>
        </w:trPr>
        <w:tc>
          <w:tcPr>
            <w:tcW w:w="7960" w:type="dxa"/>
            <w:vAlign w:val="bottom"/>
          </w:tcPr>
          <w:p>
            <w:pPr>
              <w:spacing w:after="0"/>
              <w:rPr>
                <w:sz w:val="20"/>
                <w:szCs w:val="20"/>
                <w:color w:val="auto"/>
              </w:rPr>
            </w:pPr>
            <w:r>
              <w:rPr>
                <w:rFonts w:ascii="Arial" w:cs="Arial" w:eastAsia="Arial" w:hAnsi="Arial"/>
                <w:sz w:val="12"/>
                <w:szCs w:val="12"/>
                <w:color w:val="auto"/>
              </w:rPr>
              <w:t>Accrued product costs</w:t>
            </w: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8,408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9,587</w:t>
            </w:r>
          </w:p>
        </w:tc>
      </w:tr>
      <w:tr>
        <w:trPr>
          <w:trHeight w:val="156"/>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Accrued professional fees</w:t>
            </w: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7,453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7,730</w:t>
            </w:r>
          </w:p>
        </w:tc>
      </w:tr>
      <w:tr>
        <w:trPr>
          <w:trHeight w:val="156"/>
        </w:trPr>
        <w:tc>
          <w:tcPr>
            <w:tcW w:w="7960" w:type="dxa"/>
            <w:vAlign w:val="bottom"/>
          </w:tcPr>
          <w:p>
            <w:pPr>
              <w:spacing w:after="0" w:line="156" w:lineRule="exact"/>
              <w:rPr>
                <w:sz w:val="20"/>
                <w:szCs w:val="20"/>
                <w:color w:val="auto"/>
              </w:rPr>
            </w:pPr>
            <w:r>
              <w:rPr>
                <w:rFonts w:ascii="Arial" w:cs="Arial" w:eastAsia="Arial" w:hAnsi="Arial"/>
                <w:sz w:val="12"/>
                <w:szCs w:val="12"/>
                <w:color w:val="auto"/>
              </w:rPr>
              <w:t xml:space="preserve">Accrued clinical trial costs </w:t>
            </w:r>
            <w:r>
              <w:rPr>
                <w:rFonts w:ascii="Arial" w:cs="Arial" w:eastAsia="Arial" w:hAnsi="Arial"/>
                <w:sz w:val="15"/>
                <w:szCs w:val="15"/>
                <w:color w:val="auto"/>
                <w:vertAlign w:val="superscript"/>
              </w:rPr>
              <w:t>(2)</w:t>
            </w: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6,774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12,842</w:t>
            </w:r>
          </w:p>
        </w:tc>
      </w:tr>
      <w:tr>
        <w:trPr>
          <w:trHeight w:val="156"/>
        </w:trPr>
        <w:tc>
          <w:tcPr>
            <w:tcW w:w="79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Operating lease liabilities, current portion </w:t>
            </w:r>
            <w:r>
              <w:rPr>
                <w:rFonts w:ascii="Arial" w:cs="Arial" w:eastAsia="Arial" w:hAnsi="Arial"/>
                <w:sz w:val="15"/>
                <w:szCs w:val="15"/>
                <w:color w:val="auto"/>
                <w:vertAlign w:val="superscript"/>
              </w:rPr>
              <w:t>(3)</w:t>
            </w: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3,760</w:t>
            </w:r>
          </w:p>
        </w:tc>
      </w:tr>
      <w:tr>
        <w:trPr>
          <w:trHeight w:val="155"/>
        </w:trPr>
        <w:tc>
          <w:tcPr>
            <w:tcW w:w="79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accrued expenses</w:t>
            </w:r>
          </w:p>
        </w:tc>
        <w:tc>
          <w:tcPr>
            <w:tcW w:w="1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8,415</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8,970</w:t>
            </w:r>
          </w:p>
        </w:tc>
      </w:tr>
      <w:tr>
        <w:trPr>
          <w:trHeight w:val="162"/>
        </w:trPr>
        <w:tc>
          <w:tcPr>
            <w:tcW w:w="796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1180" w:type="dxa"/>
            <w:vAlign w:val="bottom"/>
            <w:tcBorders>
              <w:bottom w:val="single" w:sz="8" w:color="auto"/>
            </w:tcBorders>
            <w:shd w:val="clear" w:color="auto" w:fill="CCEEFF"/>
          </w:tcPr>
          <w:p>
            <w:pPr>
              <w:jc w:val="right"/>
              <w:ind w:right="1046"/>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72,286</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78,934</w:t>
            </w:r>
          </w:p>
        </w:tc>
      </w:tr>
    </w:tbl>
    <w:p>
      <w:pPr>
        <w:spacing w:after="0" w:line="55"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_______________________________</w:t>
      </w:r>
    </w:p>
    <w:p>
      <w:pPr>
        <w:spacing w:after="0" w:line="47" w:lineRule="exact"/>
        <w:rPr>
          <w:sz w:val="20"/>
          <w:szCs w:val="20"/>
          <w:color w:val="auto"/>
        </w:rPr>
      </w:pPr>
    </w:p>
    <w:p>
      <w:pPr>
        <w:ind w:left="107" w:hanging="107"/>
        <w:spacing w:after="0"/>
        <w:tabs>
          <w:tab w:leader="none" w:pos="107" w:val="left"/>
        </w:tabs>
        <w:numPr>
          <w:ilvl w:val="0"/>
          <w:numId w:val="21"/>
        </w:numPr>
        <w:rPr>
          <w:rFonts w:ascii="Arial" w:cs="Arial" w:eastAsia="Arial" w:hAnsi="Arial"/>
          <w:sz w:val="12"/>
          <w:szCs w:val="12"/>
          <w:color w:val="auto"/>
          <w:vertAlign w:val="superscript"/>
        </w:rPr>
      </w:pPr>
      <w:r>
        <w:rPr>
          <w:rFonts w:ascii="Arial" w:cs="Arial" w:eastAsia="Arial" w:hAnsi="Arial"/>
          <w:sz w:val="9"/>
          <w:szCs w:val="9"/>
          <w:color w:val="auto"/>
        </w:rPr>
        <w:t xml:space="preserve">Refer to Note 15, </w:t>
      </w:r>
      <w:r>
        <w:rPr>
          <w:rFonts w:ascii="Arial" w:cs="Arial" w:eastAsia="Arial" w:hAnsi="Arial"/>
          <w:sz w:val="9"/>
          <w:szCs w:val="9"/>
          <w:i w:val="1"/>
          <w:iCs w:val="1"/>
          <w:color w:val="auto"/>
        </w:rPr>
        <w:t>Commitments and Contingencies</w:t>
      </w:r>
      <w:r>
        <w:rPr>
          <w:rFonts w:ascii="Arial" w:cs="Arial" w:eastAsia="Arial" w:hAnsi="Arial"/>
          <w:sz w:val="9"/>
          <w:szCs w:val="9"/>
          <w:color w:val="auto"/>
        </w:rPr>
        <w:t>.</w:t>
      </w:r>
    </w:p>
    <w:p>
      <w:pPr>
        <w:ind w:left="127" w:hanging="127"/>
        <w:spacing w:after="0" w:line="190" w:lineRule="auto"/>
        <w:tabs>
          <w:tab w:leader="none" w:pos="127" w:val="left"/>
        </w:tabs>
        <w:numPr>
          <w:ilvl w:val="0"/>
          <w:numId w:val="21"/>
        </w:numPr>
        <w:rPr>
          <w:rFonts w:ascii="Arial" w:cs="Arial" w:eastAsia="Arial" w:hAnsi="Arial"/>
          <w:sz w:val="14"/>
          <w:szCs w:val="14"/>
          <w:color w:val="auto"/>
          <w:vertAlign w:val="superscript"/>
        </w:rPr>
      </w:pPr>
      <w:r>
        <w:rPr>
          <w:rFonts w:ascii="Arial" w:cs="Arial" w:eastAsia="Arial" w:hAnsi="Arial"/>
          <w:sz w:val="9"/>
          <w:szCs w:val="9"/>
          <w:color w:val="auto"/>
        </w:rPr>
        <w:t>Includes preclinical and all clinical trial-related costs.</w:t>
      </w:r>
    </w:p>
    <w:p>
      <w:pPr>
        <w:ind w:left="127" w:hanging="127"/>
        <w:spacing w:after="0" w:line="180" w:lineRule="auto"/>
        <w:tabs>
          <w:tab w:leader="none" w:pos="127" w:val="left"/>
        </w:tabs>
        <w:numPr>
          <w:ilvl w:val="0"/>
          <w:numId w:val="21"/>
        </w:numPr>
        <w:rPr>
          <w:rFonts w:ascii="Arial" w:cs="Arial" w:eastAsia="Arial" w:hAnsi="Arial"/>
          <w:sz w:val="15"/>
          <w:szCs w:val="15"/>
          <w:color w:val="auto"/>
          <w:vertAlign w:val="superscript"/>
        </w:rPr>
      </w:pPr>
      <w:r>
        <w:rPr>
          <w:rFonts w:ascii="Arial" w:cs="Arial" w:eastAsia="Arial" w:hAnsi="Arial"/>
          <w:sz w:val="10"/>
          <w:szCs w:val="10"/>
          <w:color w:val="auto"/>
        </w:rPr>
        <w:t xml:space="preserve">Refer to Note 12, </w:t>
      </w:r>
      <w:r>
        <w:rPr>
          <w:rFonts w:ascii="Arial" w:cs="Arial" w:eastAsia="Arial" w:hAnsi="Arial"/>
          <w:sz w:val="10"/>
          <w:szCs w:val="10"/>
          <w:i w:val="1"/>
          <w:iCs w:val="1"/>
          <w:color w:val="auto"/>
        </w:rPr>
        <w:t>Leases</w:t>
      </w:r>
      <w:r>
        <w:rPr>
          <w:rFonts w:ascii="Arial" w:cs="Arial" w:eastAsia="Arial" w:hAnsi="Arial"/>
          <w:sz w:val="10"/>
          <w:szCs w:val="10"/>
          <w:color w:val="auto"/>
        </w:rPr>
        <w:t>.</w:t>
      </w:r>
    </w:p>
    <w:p>
      <w:pPr>
        <w:spacing w:after="0" w:line="39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23" w:name="page24"/>
    <w:bookmarkEnd w:id="23"/>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Accrued Product Returns and Rebates</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1140" w:type="dxa"/>
            <w:vAlign w:val="bottom"/>
          </w:tcPr>
          <w:p>
            <w:pPr>
              <w:jc w:val="center"/>
              <w:ind w:left="448"/>
              <w:spacing w:after="0"/>
              <w:rPr>
                <w:sz w:val="20"/>
                <w:szCs w:val="20"/>
                <w:color w:val="auto"/>
              </w:rPr>
            </w:pPr>
            <w:r>
              <w:rPr>
                <w:rFonts w:ascii="Arial" w:cs="Arial" w:eastAsia="Arial" w:hAnsi="Arial"/>
                <w:sz w:val="10"/>
                <w:szCs w:val="10"/>
                <w:b w:val="1"/>
                <w:bCs w:val="1"/>
                <w:color w:val="auto"/>
                <w:w w:val="87"/>
              </w:rPr>
              <w:t>September 30,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jc w:val="center"/>
              <w:ind w:right="266"/>
              <w:spacing w:after="0"/>
              <w:rPr>
                <w:sz w:val="20"/>
                <w:szCs w:val="20"/>
                <w:color w:val="auto"/>
              </w:rPr>
            </w:pPr>
            <w:r>
              <w:rPr>
                <w:rFonts w:ascii="Arial" w:cs="Arial" w:eastAsia="Arial" w:hAnsi="Arial"/>
                <w:sz w:val="10"/>
                <w:szCs w:val="10"/>
                <w:b w:val="1"/>
                <w:bCs w:val="1"/>
                <w:color w:val="auto"/>
                <w:w w:val="86"/>
              </w:rPr>
              <w:t>December 31,</w:t>
            </w:r>
          </w:p>
        </w:tc>
      </w:tr>
      <w:tr>
        <w:trPr>
          <w:trHeight w:val="127"/>
        </w:trPr>
        <w:tc>
          <w:tcPr>
            <w:tcW w:w="7960" w:type="dxa"/>
            <w:vAlign w:val="bottom"/>
          </w:tcPr>
          <w:p>
            <w:pPr>
              <w:spacing w:after="0"/>
              <w:rPr>
                <w:sz w:val="11"/>
                <w:szCs w:val="11"/>
                <w:color w:val="auto"/>
              </w:rPr>
            </w:pPr>
          </w:p>
        </w:tc>
        <w:tc>
          <w:tcPr>
            <w:tcW w:w="1140" w:type="dxa"/>
            <w:vAlign w:val="bottom"/>
            <w:tcBorders>
              <w:bottom w:val="single" w:sz="8" w:color="auto"/>
            </w:tcBorders>
          </w:tcPr>
          <w:p>
            <w:pPr>
              <w:jc w:val="center"/>
              <w:ind w:left="448"/>
              <w:spacing w:after="0"/>
              <w:rPr>
                <w:sz w:val="20"/>
                <w:szCs w:val="20"/>
                <w:color w:val="auto"/>
              </w:rPr>
            </w:pPr>
            <w:r>
              <w:rPr>
                <w:rFonts w:ascii="Arial" w:cs="Arial" w:eastAsia="Arial" w:hAnsi="Arial"/>
                <w:sz w:val="10"/>
                <w:szCs w:val="10"/>
                <w:b w:val="1"/>
                <w:bCs w:val="1"/>
                <w:color w:val="auto"/>
                <w:w w:val="89"/>
              </w:rPr>
              <w:t>2021</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266"/>
              <w:spacing w:after="0"/>
              <w:rPr>
                <w:sz w:val="20"/>
                <w:szCs w:val="20"/>
                <w:color w:val="auto"/>
              </w:rPr>
            </w:pPr>
            <w:r>
              <w:rPr>
                <w:rFonts w:ascii="Arial" w:cs="Arial" w:eastAsia="Arial" w:hAnsi="Arial"/>
                <w:sz w:val="10"/>
                <w:szCs w:val="10"/>
                <w:b w:val="1"/>
                <w:bCs w:val="1"/>
                <w:color w:val="auto"/>
                <w:w w:val="89"/>
              </w:rPr>
              <w:t>2020</w:t>
            </w:r>
          </w:p>
        </w:tc>
      </w:tr>
      <w:tr>
        <w:trPr>
          <w:trHeight w:val="117"/>
        </w:trPr>
        <w:tc>
          <w:tcPr>
            <w:tcW w:w="7960" w:type="dxa"/>
            <w:vAlign w:val="bottom"/>
          </w:tcPr>
          <w:p>
            <w:pPr>
              <w:spacing w:after="0"/>
              <w:rPr>
                <w:sz w:val="10"/>
                <w:szCs w:val="10"/>
                <w:color w:val="auto"/>
              </w:rPr>
            </w:pPr>
          </w:p>
        </w:tc>
        <w:tc>
          <w:tcPr>
            <w:tcW w:w="1140" w:type="dxa"/>
            <w:vAlign w:val="bottom"/>
          </w:tcPr>
          <w:p>
            <w:pPr>
              <w:jc w:val="center"/>
              <w:ind w:left="428"/>
              <w:spacing w:after="0"/>
              <w:rPr>
                <w:sz w:val="20"/>
                <w:szCs w:val="20"/>
                <w:color w:val="auto"/>
              </w:rPr>
            </w:pPr>
            <w:r>
              <w:rPr>
                <w:rFonts w:ascii="Arial" w:cs="Arial" w:eastAsia="Arial" w:hAnsi="Arial"/>
                <w:sz w:val="10"/>
                <w:szCs w:val="10"/>
                <w:b w:val="1"/>
                <w:bCs w:val="1"/>
                <w:color w:val="auto"/>
                <w:w w:val="91"/>
              </w:rPr>
              <w:t>(unaudited)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Accrued product rebates</w:t>
            </w:r>
          </w:p>
        </w:tc>
        <w:tc>
          <w:tcPr>
            <w:tcW w:w="1140" w:type="dxa"/>
            <w:vAlign w:val="bottom"/>
            <w:shd w:val="clear" w:color="auto" w:fill="CCEEFF"/>
          </w:tcPr>
          <w:p>
            <w:pPr>
              <w:jc w:val="right"/>
              <w:ind w:right="1008"/>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98,636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96,589</w:t>
            </w:r>
          </w:p>
        </w:tc>
      </w:tr>
      <w:tr>
        <w:trPr>
          <w:trHeight w:val="155"/>
        </w:trPr>
        <w:tc>
          <w:tcPr>
            <w:tcW w:w="79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Accrued product returns</w:t>
            </w: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33,412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29,603</w:t>
            </w:r>
          </w:p>
        </w:tc>
      </w:tr>
      <w:tr>
        <w:trPr>
          <w:trHeight w:val="165"/>
        </w:trPr>
        <w:tc>
          <w:tcPr>
            <w:tcW w:w="796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114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132,048</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126,192</w:t>
            </w:r>
          </w:p>
        </w:tc>
      </w:tr>
      <w:tr>
        <w:trPr>
          <w:trHeight w:val="326"/>
        </w:trPr>
        <w:tc>
          <w:tcPr>
            <w:tcW w:w="7960" w:type="dxa"/>
            <w:vAlign w:val="bottom"/>
          </w:tcPr>
          <w:p>
            <w:pPr>
              <w:spacing w:after="0"/>
              <w:rPr>
                <w:sz w:val="20"/>
                <w:szCs w:val="20"/>
                <w:color w:val="auto"/>
              </w:rPr>
            </w:pPr>
            <w:r>
              <w:rPr>
                <w:rFonts w:ascii="Arial" w:cs="Arial" w:eastAsia="Arial" w:hAnsi="Arial"/>
                <w:sz w:val="12"/>
                <w:szCs w:val="12"/>
                <w:i w:val="1"/>
                <w:iCs w:val="1"/>
                <w:color w:val="auto"/>
              </w:rPr>
              <w:t>Other Liabilities</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7960" w:type="dxa"/>
            <w:vAlign w:val="bottom"/>
          </w:tcPr>
          <w:p>
            <w:pPr>
              <w:spacing w:after="0"/>
              <w:rPr>
                <w:sz w:val="19"/>
                <w:szCs w:val="19"/>
                <w:color w:val="auto"/>
              </w:rPr>
            </w:pPr>
          </w:p>
        </w:tc>
        <w:tc>
          <w:tcPr>
            <w:tcW w:w="1140" w:type="dxa"/>
            <w:vAlign w:val="bottom"/>
          </w:tcPr>
          <w:p>
            <w:pPr>
              <w:jc w:val="center"/>
              <w:ind w:left="448"/>
              <w:spacing w:after="0"/>
              <w:rPr>
                <w:sz w:val="20"/>
                <w:szCs w:val="20"/>
                <w:color w:val="auto"/>
              </w:rPr>
            </w:pPr>
            <w:r>
              <w:rPr>
                <w:rFonts w:ascii="Arial" w:cs="Arial" w:eastAsia="Arial" w:hAnsi="Arial"/>
                <w:sz w:val="10"/>
                <w:szCs w:val="10"/>
                <w:b w:val="1"/>
                <w:bCs w:val="1"/>
                <w:color w:val="auto"/>
                <w:w w:val="87"/>
              </w:rPr>
              <w:t>September 30,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center"/>
              <w:ind w:right="266"/>
              <w:spacing w:after="0"/>
              <w:rPr>
                <w:sz w:val="20"/>
                <w:szCs w:val="20"/>
                <w:color w:val="auto"/>
              </w:rPr>
            </w:pPr>
            <w:r>
              <w:rPr>
                <w:rFonts w:ascii="Arial" w:cs="Arial" w:eastAsia="Arial" w:hAnsi="Arial"/>
                <w:sz w:val="10"/>
                <w:szCs w:val="10"/>
                <w:b w:val="1"/>
                <w:bCs w:val="1"/>
                <w:color w:val="auto"/>
                <w:w w:val="86"/>
              </w:rPr>
              <w:t>December 31,</w:t>
            </w:r>
          </w:p>
        </w:tc>
      </w:tr>
      <w:tr>
        <w:trPr>
          <w:trHeight w:val="125"/>
        </w:trPr>
        <w:tc>
          <w:tcPr>
            <w:tcW w:w="7960" w:type="dxa"/>
            <w:vAlign w:val="bottom"/>
          </w:tcPr>
          <w:p>
            <w:pPr>
              <w:spacing w:after="0"/>
              <w:rPr>
                <w:sz w:val="10"/>
                <w:szCs w:val="10"/>
                <w:color w:val="auto"/>
              </w:rPr>
            </w:pPr>
          </w:p>
        </w:tc>
        <w:tc>
          <w:tcPr>
            <w:tcW w:w="1140" w:type="dxa"/>
            <w:vAlign w:val="bottom"/>
          </w:tcPr>
          <w:p>
            <w:pPr>
              <w:jc w:val="center"/>
              <w:ind w:left="448"/>
              <w:spacing w:after="0"/>
              <w:rPr>
                <w:sz w:val="20"/>
                <w:szCs w:val="20"/>
                <w:color w:val="auto"/>
              </w:rPr>
            </w:pPr>
            <w:r>
              <w:rPr>
                <w:rFonts w:ascii="Arial" w:cs="Arial" w:eastAsia="Arial" w:hAnsi="Arial"/>
                <w:sz w:val="10"/>
                <w:szCs w:val="10"/>
                <w:b w:val="1"/>
                <w:bCs w:val="1"/>
                <w:color w:val="auto"/>
                <w:w w:val="89"/>
              </w:rPr>
              <w:t>2021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jc w:val="center"/>
              <w:ind w:right="266"/>
              <w:spacing w:after="0"/>
              <w:rPr>
                <w:sz w:val="20"/>
                <w:szCs w:val="20"/>
                <w:color w:val="auto"/>
              </w:rPr>
            </w:pPr>
            <w:r>
              <w:rPr>
                <w:rFonts w:ascii="Arial" w:cs="Arial" w:eastAsia="Arial" w:hAnsi="Arial"/>
                <w:sz w:val="10"/>
                <w:szCs w:val="10"/>
                <w:b w:val="1"/>
                <w:bCs w:val="1"/>
                <w:color w:val="auto"/>
                <w:w w:val="89"/>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1905</wp:posOffset>
            </wp:positionV>
            <wp:extent cx="211518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15185" cy="5715"/>
                    </a:xfrm>
                    <a:prstGeom prst="rect">
                      <a:avLst/>
                    </a:prstGeom>
                    <a:noFill/>
                  </pic:spPr>
                </pic:pic>
              </a:graphicData>
            </a:graphic>
          </wp:anchor>
        </w:drawing>
      </w:r>
    </w:p>
    <w:p>
      <w:pPr>
        <w:spacing w:after="0" w:line="5" w:lineRule="exact"/>
        <w:rPr>
          <w:sz w:val="20"/>
          <w:szCs w:val="20"/>
          <w:color w:val="auto"/>
        </w:rPr>
      </w:pPr>
    </w:p>
    <w:p>
      <w:pPr>
        <w:ind w:left="8527"/>
        <w:spacing w:after="0"/>
        <w:rPr>
          <w:sz w:val="20"/>
          <w:szCs w:val="20"/>
          <w:color w:val="auto"/>
        </w:rPr>
      </w:pPr>
      <w:r>
        <w:rPr>
          <w:rFonts w:ascii="Arial" w:cs="Arial" w:eastAsia="Arial" w:hAnsi="Arial"/>
          <w:sz w:val="10"/>
          <w:szCs w:val="1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6770" cy="990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770" cy="9906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p>
      <w:pPr>
        <w:spacing w:after="0" w:line="19" w:lineRule="exact"/>
        <w:rPr>
          <w:sz w:val="20"/>
          <w:szCs w:val="20"/>
          <w:color w:val="auto"/>
        </w:rPr>
      </w:pPr>
    </w:p>
    <w:p>
      <w:pPr>
        <w:ind w:left="7"/>
        <w:spacing w:after="0"/>
        <w:rPr>
          <w:sz w:val="20"/>
          <w:szCs w:val="20"/>
          <w:color w:val="auto"/>
        </w:rPr>
      </w:pPr>
      <w:r>
        <w:rPr>
          <w:rFonts w:ascii="Arial" w:cs="Arial" w:eastAsia="Arial" w:hAnsi="Arial"/>
          <w:sz w:val="12"/>
          <w:szCs w:val="12"/>
          <w:color w:val="auto"/>
        </w:rPr>
        <w:t>Nonrecourse liability related to sale of future royalties, long term</w:t>
      </w:r>
    </w:p>
    <w:p>
      <w:pPr>
        <w:spacing w:after="0" w:line="11"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Finance lease liability, long term </w:t>
      </w:r>
      <w:r>
        <w:rPr>
          <w:rFonts w:ascii="Arial" w:cs="Arial" w:eastAsia="Arial" w:hAnsi="Arial"/>
          <w:sz w:val="15"/>
          <w:szCs w:val="15"/>
          <w:color w:val="auto"/>
          <w:vertAlign w:val="superscript"/>
        </w:rPr>
        <w:t>(1)</w:t>
      </w:r>
    </w:p>
    <w:p>
      <w:pPr>
        <w:ind w:left="7"/>
        <w:spacing w:after="0"/>
        <w:rPr>
          <w:sz w:val="20"/>
          <w:szCs w:val="20"/>
          <w:color w:val="auto"/>
        </w:rPr>
      </w:pPr>
      <w:r>
        <w:rPr>
          <w:rFonts w:ascii="Arial" w:cs="Arial" w:eastAsia="Arial" w:hAnsi="Arial"/>
          <w:sz w:val="12"/>
          <w:szCs w:val="12"/>
          <w:color w:val="auto"/>
        </w:rPr>
        <w:t>Other liabilities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Total</w:t>
      </w:r>
    </w:p>
    <w:p>
      <w:pPr>
        <w:spacing w:after="0" w:line="91"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w:t>
      </w:r>
    </w:p>
    <w:p>
      <w:pPr>
        <w:spacing w:after="0" w:line="49" w:lineRule="exact"/>
        <w:rPr>
          <w:sz w:val="20"/>
          <w:szCs w:val="20"/>
          <w:color w:val="auto"/>
        </w:rPr>
      </w:pPr>
    </w:p>
    <w:p>
      <w:pPr>
        <w:ind w:left="107" w:hanging="107"/>
        <w:spacing w:after="0"/>
        <w:tabs>
          <w:tab w:leader="none" w:pos="107" w:val="left"/>
        </w:tabs>
        <w:numPr>
          <w:ilvl w:val="0"/>
          <w:numId w:val="22"/>
        </w:numPr>
        <w:rPr>
          <w:rFonts w:ascii="Arial" w:cs="Arial" w:eastAsia="Arial" w:hAnsi="Arial"/>
          <w:sz w:val="12"/>
          <w:szCs w:val="12"/>
          <w:color w:val="auto"/>
          <w:vertAlign w:val="superscript"/>
        </w:rPr>
      </w:pPr>
      <w:r>
        <w:rPr>
          <w:rFonts w:ascii="Arial" w:cs="Arial" w:eastAsia="Arial" w:hAnsi="Arial"/>
          <w:sz w:val="9"/>
          <w:szCs w:val="9"/>
          <w:color w:val="auto"/>
        </w:rPr>
        <w:t xml:space="preserve">Refer to Note 12, </w:t>
      </w:r>
      <w:r>
        <w:rPr>
          <w:rFonts w:ascii="Arial" w:cs="Arial" w:eastAsia="Arial" w:hAnsi="Arial"/>
          <w:sz w:val="9"/>
          <w:szCs w:val="9"/>
          <w:i w:val="1"/>
          <w:iCs w:val="1"/>
          <w:color w:val="auto"/>
        </w:rPr>
        <w:t>Leases</w:t>
      </w:r>
      <w:r>
        <w:rPr>
          <w:rFonts w:ascii="Arial" w:cs="Arial" w:eastAsia="Arial" w:hAnsi="Arial"/>
          <w:sz w:val="9"/>
          <w:szCs w:val="9"/>
          <w:color w:val="auto"/>
        </w:rPr>
        <w:t>.</w:t>
      </w:r>
    </w:p>
    <w:p>
      <w:pPr>
        <w:spacing w:after="0" w:line="102" w:lineRule="exact"/>
        <w:rPr>
          <w:sz w:val="20"/>
          <w:szCs w:val="20"/>
          <w:color w:val="auto"/>
        </w:rPr>
      </w:pPr>
    </w:p>
    <w:p>
      <w:pPr>
        <w:ind w:left="267" w:hanging="267"/>
        <w:spacing w:after="0"/>
        <w:tabs>
          <w:tab w:leader="none" w:pos="267"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color w:val="auto"/>
        </w:rPr>
        <w:t>Interest Expense</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The following details the composition of interest expense (dollars 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380" w:type="dxa"/>
        <w:tblCellMar>
          <w:top w:w="0" w:type="dxa"/>
          <w:left w:w="0" w:type="dxa"/>
          <w:bottom w:w="0" w:type="dxa"/>
          <w:right w:w="0" w:type="dxa"/>
        </w:tblCellMar>
      </w:tblPr>
      <w:tr>
        <w:trPr>
          <w:trHeight w:val="155"/>
        </w:trPr>
        <w:tc>
          <w:tcPr>
            <w:tcW w:w="660" w:type="dxa"/>
            <w:vAlign w:val="bottom"/>
          </w:tcPr>
          <w:p>
            <w:pPr>
              <w:jc w:val="right"/>
              <w:ind w:right="51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8,139</w:t>
            </w:r>
          </w:p>
        </w:tc>
        <w:tc>
          <w:tcPr>
            <w:tcW w:w="100" w:type="dxa"/>
            <w:vAlign w:val="bottom"/>
          </w:tcPr>
          <w:p>
            <w:pPr>
              <w:spacing w:after="0"/>
              <w:rPr>
                <w:sz w:val="13"/>
                <w:szCs w:val="13"/>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13,410</w:t>
            </w:r>
          </w:p>
        </w:tc>
      </w:tr>
      <w:tr>
        <w:trPr>
          <w:trHeight w:val="156"/>
        </w:trPr>
        <w:tc>
          <w:tcPr>
            <w:tcW w:w="66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20,235</w:t>
            </w:r>
          </w:p>
        </w:tc>
      </w:tr>
      <w:tr>
        <w:trPr>
          <w:trHeight w:val="156"/>
        </w:trPr>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10,047</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9,146</w:t>
            </w:r>
          </w:p>
        </w:tc>
      </w:tr>
      <w:tr>
        <w:trPr>
          <w:trHeight w:val="145"/>
        </w:trPr>
        <w:tc>
          <w:tcPr>
            <w:tcW w:w="66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18,186</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42,791</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-226060</wp:posOffset>
            </wp:positionV>
            <wp:extent cx="7176770" cy="990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9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60" w:type="dxa"/>
            <w:vAlign w:val="bottom"/>
          </w:tcPr>
          <w:p>
            <w:pPr>
              <w:jc w:val="center"/>
              <w:ind w:left="1031"/>
              <w:spacing w:after="0"/>
              <w:rPr>
                <w:sz w:val="20"/>
                <w:szCs w:val="20"/>
                <w:color w:val="auto"/>
              </w:rPr>
            </w:pPr>
            <w:r>
              <w:rPr>
                <w:rFonts w:ascii="Arial" w:cs="Arial" w:eastAsia="Arial" w:hAnsi="Arial"/>
                <w:sz w:val="10"/>
                <w:szCs w:val="10"/>
                <w:b w:val="1"/>
                <w:bCs w:val="1"/>
                <w:color w:val="auto"/>
                <w:w w:val="87"/>
              </w:rPr>
              <w:t>Three Months ended</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40" w:type="dxa"/>
            <w:vAlign w:val="bottom"/>
          </w:tcPr>
          <w:p>
            <w:pPr>
              <w:jc w:val="center"/>
              <w:ind w:right="1031"/>
              <w:spacing w:after="0"/>
              <w:rPr>
                <w:sz w:val="20"/>
                <w:szCs w:val="20"/>
                <w:color w:val="auto"/>
              </w:rPr>
            </w:pPr>
            <w:r>
              <w:rPr>
                <w:rFonts w:ascii="Arial" w:cs="Arial" w:eastAsia="Arial" w:hAnsi="Arial"/>
                <w:sz w:val="10"/>
                <w:szCs w:val="10"/>
                <w:b w:val="1"/>
                <w:bCs w:val="1"/>
                <w:color w:val="auto"/>
                <w:w w:val="86"/>
              </w:rPr>
              <w:t>Nine Months ended</w:t>
            </w:r>
          </w:p>
        </w:tc>
      </w:tr>
      <w:tr>
        <w:trPr>
          <w:trHeight w:val="127"/>
        </w:trPr>
        <w:tc>
          <w:tcPr>
            <w:tcW w:w="2260" w:type="dxa"/>
            <w:vAlign w:val="bottom"/>
            <w:tcBorders>
              <w:bottom w:val="single" w:sz="8" w:color="auto"/>
            </w:tcBorders>
          </w:tcPr>
          <w:p>
            <w:pPr>
              <w:jc w:val="center"/>
              <w:ind w:left="1011"/>
              <w:spacing w:after="0"/>
              <w:rPr>
                <w:sz w:val="20"/>
                <w:szCs w:val="20"/>
                <w:color w:val="auto"/>
              </w:rPr>
            </w:pPr>
            <w:r>
              <w:rPr>
                <w:rFonts w:ascii="Arial" w:cs="Arial" w:eastAsia="Arial" w:hAnsi="Arial"/>
                <w:sz w:val="10"/>
                <w:szCs w:val="10"/>
                <w:b w:val="1"/>
                <w:bCs w:val="1"/>
                <w:color w:val="auto"/>
                <w:w w:val="87"/>
              </w:rPr>
              <w:t>September 30,</w:t>
            </w: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jc w:val="center"/>
              <w:ind w:right="1031"/>
              <w:spacing w:after="0"/>
              <w:rPr>
                <w:sz w:val="20"/>
                <w:szCs w:val="20"/>
                <w:color w:val="auto"/>
              </w:rPr>
            </w:pPr>
            <w:r>
              <w:rPr>
                <w:rFonts w:ascii="Arial" w:cs="Arial" w:eastAsia="Arial" w:hAnsi="Arial"/>
                <w:sz w:val="10"/>
                <w:szCs w:val="10"/>
                <w:b w:val="1"/>
                <w:bCs w:val="1"/>
                <w:color w:val="auto"/>
                <w:w w:val="87"/>
              </w:rPr>
              <w:t>September 30,</w:t>
            </w:r>
          </w:p>
        </w:tc>
      </w:tr>
      <w:tr>
        <w:trPr>
          <w:trHeight w:val="117"/>
        </w:trPr>
        <w:tc>
          <w:tcPr>
            <w:tcW w:w="2260" w:type="dxa"/>
            <w:vAlign w:val="bottom"/>
            <w:tcBorders>
              <w:bottom w:val="single" w:sz="8" w:color="auto"/>
            </w:tcBorders>
          </w:tcPr>
          <w:p>
            <w:pPr>
              <w:jc w:val="right"/>
              <w:ind w:right="1311"/>
              <w:spacing w:after="0"/>
              <w:rPr>
                <w:sz w:val="20"/>
                <w:szCs w:val="20"/>
                <w:color w:val="auto"/>
              </w:rPr>
            </w:pPr>
            <w:r>
              <w:rPr>
                <w:rFonts w:ascii="Arial" w:cs="Arial" w:eastAsia="Arial" w:hAnsi="Arial"/>
                <w:sz w:val="10"/>
                <w:szCs w:val="10"/>
                <w:b w:val="1"/>
                <w:bCs w:val="1"/>
                <w:color w:val="auto"/>
              </w:rPr>
              <w:t>2021</w:t>
            </w:r>
          </w:p>
        </w:tc>
        <w:tc>
          <w:tcPr>
            <w:tcW w:w="1060" w:type="dxa"/>
            <w:vAlign w:val="bottom"/>
            <w:tcBorders>
              <w:bottom w:val="single" w:sz="8" w:color="auto"/>
            </w:tcBorders>
          </w:tcPr>
          <w:p>
            <w:pPr>
              <w:jc w:val="right"/>
              <w:ind w:right="651"/>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2021</w:t>
            </w:r>
          </w:p>
        </w:tc>
        <w:tc>
          <w:tcPr>
            <w:tcW w:w="2240" w:type="dxa"/>
            <w:vAlign w:val="bottom"/>
            <w:tcBorders>
              <w:bottom w:val="single" w:sz="8" w:color="auto"/>
            </w:tcBorders>
          </w:tcPr>
          <w:p>
            <w:pPr>
              <w:jc w:val="right"/>
              <w:ind w:right="671"/>
              <w:spacing w:after="0"/>
              <w:rPr>
                <w:sz w:val="20"/>
                <w:szCs w:val="20"/>
                <w:color w:val="auto"/>
              </w:rPr>
            </w:pPr>
            <w:r>
              <w:rPr>
                <w:rFonts w:ascii="Arial" w:cs="Arial" w:eastAsia="Arial" w:hAnsi="Arial"/>
                <w:sz w:val="10"/>
                <w:szCs w:val="10"/>
                <w:b w:val="1"/>
                <w:bCs w:val="1"/>
                <w:color w:val="auto"/>
              </w:rPr>
              <w:t>2020</w:t>
            </w:r>
          </w:p>
        </w:tc>
      </w:tr>
      <w:tr>
        <w:trPr>
          <w:trHeight w:val="116"/>
        </w:trPr>
        <w:tc>
          <w:tcPr>
            <w:tcW w:w="2260" w:type="dxa"/>
            <w:vAlign w:val="bottom"/>
          </w:tcPr>
          <w:p>
            <w:pPr>
              <w:jc w:val="center"/>
              <w:ind w:left="1011"/>
              <w:spacing w:after="0"/>
              <w:rPr>
                <w:sz w:val="20"/>
                <w:szCs w:val="20"/>
                <w:color w:val="auto"/>
              </w:rPr>
            </w:pPr>
            <w:r>
              <w:rPr>
                <w:rFonts w:ascii="Arial" w:cs="Arial" w:eastAsia="Arial" w:hAnsi="Arial"/>
                <w:sz w:val="10"/>
                <w:szCs w:val="10"/>
                <w:b w:val="1"/>
                <w:bCs w:val="1"/>
                <w:color w:val="auto"/>
                <w:w w:val="88"/>
              </w:rPr>
              <w:t>(unaudited)</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40" w:type="dxa"/>
            <w:vAlign w:val="bottom"/>
          </w:tcPr>
          <w:p>
            <w:pPr>
              <w:jc w:val="center"/>
              <w:ind w:right="1031"/>
              <w:spacing w:after="0"/>
              <w:rPr>
                <w:sz w:val="20"/>
                <w:szCs w:val="20"/>
                <w:color w:val="auto"/>
              </w:rPr>
            </w:pPr>
            <w:r>
              <w:rPr>
                <w:rFonts w:ascii="Arial" w:cs="Arial" w:eastAsia="Arial" w:hAnsi="Arial"/>
                <w:sz w:val="10"/>
                <w:szCs w:val="10"/>
                <w:b w:val="1"/>
                <w:bCs w:val="1"/>
                <w:color w:val="auto"/>
                <w:w w:val="88"/>
              </w:rPr>
              <w:t>(unaudited)</w:t>
            </w:r>
          </w:p>
        </w:tc>
      </w:tr>
    </w:tbl>
    <w:p>
      <w:pPr>
        <w:spacing w:after="0" w:line="20" w:lineRule="exact"/>
        <w:rPr>
          <w:sz w:val="20"/>
          <w:szCs w:val="20"/>
          <w:color w:val="auto"/>
        </w:rPr>
      </w:pPr>
    </w:p>
    <w:p>
      <w:pPr>
        <w:sectPr>
          <w:pgSz w:w="11900" w:h="16838" w:orient="portrait"/>
          <w:cols w:equalWidth="0" w:num="2">
            <w:col w:w="4367" w:space="220"/>
            <w:col w:w="6720"/>
          </w:cols>
          <w:pgMar w:left="293" w:top="131" w:right="299" w:bottom="1440" w:gutter="0" w:footer="0" w:header="0"/>
          <w:type w:val="continuous"/>
        </w:sectPr>
      </w:pPr>
    </w:p>
    <w:tbl>
      <w:tblPr>
        <w:tblLayout w:type="fixed"/>
        <w:tblInd w:w="7" w:type="dxa"/>
        <w:tblCellMar>
          <w:top w:w="0" w:type="dxa"/>
          <w:left w:w="0" w:type="dxa"/>
          <w:bottom w:w="0" w:type="dxa"/>
          <w:right w:w="0" w:type="dxa"/>
        </w:tblCellMar>
      </w:tblPr>
      <w:tr>
        <w:trPr>
          <w:trHeight w:val="139"/>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660" w:type="dxa"/>
            <w:vAlign w:val="bottom"/>
            <w:shd w:val="clear" w:color="auto" w:fill="CCEEFF"/>
          </w:tcPr>
          <w:p>
            <w:pPr>
              <w:jc w:val="right"/>
              <w:ind w:right="5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(14,593)</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0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(14,430)</w:t>
            </w:r>
          </w:p>
        </w:tc>
      </w:tr>
      <w:tr>
        <w:trPr>
          <w:trHeight w:val="155"/>
        </w:trPr>
        <w:tc>
          <w:tcPr>
            <w:tcW w:w="4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Interest expense on nonrecourse liability related to sale of future royalties</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(892)</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(1,143)</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(2,896)</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(3,228)</w:t>
            </w:r>
          </w:p>
        </w:tc>
      </w:tr>
      <w:tr>
        <w:trPr>
          <w:trHeight w:val="162"/>
        </w:trPr>
        <w:tc>
          <w:tcPr>
            <w:tcW w:w="458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(5,925)</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(6,088)</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(17,489)</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50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(17,658)</w:t>
            </w:r>
          </w:p>
        </w:tc>
      </w:tr>
    </w:tbl>
    <w:p>
      <w:pPr>
        <w:spacing w:after="0" w:line="174" w:lineRule="exact"/>
        <w:rPr>
          <w:sz w:val="20"/>
          <w:szCs w:val="20"/>
          <w:color w:val="auto"/>
        </w:rPr>
      </w:pPr>
    </w:p>
    <w:p>
      <w:pPr>
        <w:jc w:val="both"/>
        <w:ind w:left="7" w:right="20" w:firstLine="439"/>
        <w:spacing w:after="0" w:line="283" w:lineRule="auto"/>
        <w:rPr>
          <w:sz w:val="20"/>
          <w:szCs w:val="20"/>
          <w:color w:val="auto"/>
        </w:rPr>
      </w:pPr>
      <w:r>
        <w:rPr>
          <w:rFonts w:ascii="Arial" w:cs="Arial" w:eastAsia="Arial" w:hAnsi="Arial"/>
          <w:sz w:val="12"/>
          <w:szCs w:val="12"/>
          <w:color w:val="auto"/>
        </w:rPr>
        <w:t>Interest expense includes noncash interest expense related to amortization of deferred financing costs, and amortization of the debt discount on the 2023 Notes of $4.4 million and $13.0 million for the three and nine months ended September 30, 2021, respectively, and $4.2 million and $12.4 million for the three and nine months ended September 30, 2020, respectively.</w:t>
      </w:r>
    </w:p>
    <w:p>
      <w:pPr>
        <w:spacing w:after="0" w:line="82" w:lineRule="exact"/>
        <w:rPr>
          <w:sz w:val="20"/>
          <w:szCs w:val="20"/>
          <w:color w:val="auto"/>
        </w:rPr>
      </w:pPr>
    </w:p>
    <w:p>
      <w:pPr>
        <w:ind w:left="267" w:hanging="267"/>
        <w:spacing w:after="0"/>
        <w:tabs>
          <w:tab w:leader="none" w:pos="267"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Product Licenses</w:t>
      </w:r>
    </w:p>
    <w:p>
      <w:pPr>
        <w:spacing w:after="0" w:line="137" w:lineRule="exact"/>
        <w:rPr>
          <w:sz w:val="20"/>
          <w:szCs w:val="20"/>
          <w:color w:val="auto"/>
        </w:rPr>
      </w:pPr>
    </w:p>
    <w:p>
      <w:pPr>
        <w:ind w:left="7" w:right="360" w:firstLine="439"/>
        <w:spacing w:after="0" w:line="269" w:lineRule="auto"/>
        <w:rPr>
          <w:sz w:val="20"/>
          <w:szCs w:val="20"/>
          <w:color w:val="auto"/>
        </w:rPr>
      </w:pPr>
      <w:r>
        <w:rPr>
          <w:rFonts w:ascii="Arial" w:cs="Arial" w:eastAsia="Arial" w:hAnsi="Arial"/>
          <w:sz w:val="12"/>
          <w:szCs w:val="12"/>
          <w:color w:val="auto"/>
        </w:rPr>
        <w:t>The Company has obtained exclusive licenses from third parties for proprietary rights to support certain products and product candidates.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94" w:lineRule="exact"/>
        <w:rPr>
          <w:sz w:val="20"/>
          <w:szCs w:val="20"/>
          <w:color w:val="auto"/>
        </w:rPr>
      </w:pPr>
    </w:p>
    <w:p>
      <w:pPr>
        <w:ind w:left="7" w:right="120" w:firstLine="439"/>
        <w:spacing w:after="0" w:line="388" w:lineRule="auto"/>
        <w:rPr>
          <w:sz w:val="20"/>
          <w:szCs w:val="20"/>
          <w:color w:val="auto"/>
        </w:rPr>
      </w:pPr>
      <w:r>
        <w:rPr>
          <w:rFonts w:ascii="Arial" w:cs="Arial" w:eastAsia="Arial" w:hAnsi="Arial"/>
          <w:sz w:val="10"/>
          <w:szCs w:val="10"/>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Royalty expense incurred is recognized as </w:t>
      </w:r>
      <w:r>
        <w:rPr>
          <w:rFonts w:ascii="Arial" w:cs="Arial" w:eastAsia="Arial" w:hAnsi="Arial"/>
          <w:sz w:val="10"/>
          <w:szCs w:val="10"/>
          <w:i w:val="1"/>
          <w:iCs w:val="1"/>
          <w:color w:val="auto"/>
        </w:rPr>
        <w:t>Cost of goods sold</w:t>
      </w:r>
      <w:r>
        <w:rPr>
          <w:rFonts w:ascii="Arial" w:cs="Arial" w:eastAsia="Arial" w:hAnsi="Arial"/>
          <w:sz w:val="10"/>
          <w:szCs w:val="10"/>
          <w:color w:val="auto"/>
        </w:rPr>
        <w:t xml:space="preserve"> in the condensed consolidated statements of earnings.</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Royalty Agreement</w:t>
      </w:r>
    </w:p>
    <w:p>
      <w:pPr>
        <w:spacing w:after="0" w:line="137" w:lineRule="exact"/>
        <w:rPr>
          <w:sz w:val="20"/>
          <w:szCs w:val="20"/>
          <w:color w:val="auto"/>
        </w:rPr>
      </w:pPr>
    </w:p>
    <w:p>
      <w:pPr>
        <w:ind w:left="7" w:right="460" w:firstLine="439"/>
        <w:spacing w:after="0" w:line="283" w:lineRule="auto"/>
        <w:rPr>
          <w:sz w:val="20"/>
          <w:szCs w:val="20"/>
          <w:color w:val="auto"/>
        </w:rPr>
      </w:pPr>
      <w:r>
        <w:rPr>
          <w:rFonts w:ascii="Arial" w:cs="Arial" w:eastAsia="Arial" w:hAnsi="Arial"/>
          <w:sz w:val="12"/>
          <w:szCs w:val="12"/>
          <w:color w:val="auto"/>
        </w:rPr>
        <w:t>In the third quarter of 2014, the Company received $30 million pursuant to a Royalty Interest Acquisition Agreement related to the purchase, by HealthCare Royalty Partners III, L.P. (HC Royalty), of certain of the Company’s rights under the Company’s agreement with United Therapeutics Corporation. These rights are related to the commercialization of Orenitram</w:t>
      </w: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type w:val="continuous"/>
        </w:sectPr>
      </w:pPr>
    </w:p>
    <w:bookmarkStart w:id="24" w:name="page25"/>
    <w:bookmarkEnd w:id="2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60"/>
        <w:spacing w:after="0" w:line="331" w:lineRule="auto"/>
        <w:rPr>
          <w:sz w:val="20"/>
          <w:szCs w:val="20"/>
          <w:color w:val="auto"/>
        </w:rPr>
      </w:pPr>
      <w:r>
        <w:rPr>
          <w:rFonts w:ascii="Arial" w:cs="Arial" w:eastAsia="Arial" w:hAnsi="Arial"/>
          <w:sz w:val="11"/>
          <w:szCs w:val="11"/>
          <w:color w:val="auto"/>
        </w:rPr>
        <w:t xml:space="preserve">(treprostinil) Extended-Release Tablets. Per the terms of the agreement, full ownership of the royalty rights will revert to the Company if and when a certain cumulative payment threshold is reached. Consequent to this agreement, the Company recorded a nonrecourse liability related to this transaction and amortizes this liability as noncash royalty revenue. Refer to Note 4, </w:t>
      </w:r>
      <w:r>
        <w:rPr>
          <w:rFonts w:ascii="Arial" w:cs="Arial" w:eastAsia="Arial" w:hAnsi="Arial"/>
          <w:sz w:val="11"/>
          <w:szCs w:val="11"/>
          <w:i w:val="1"/>
          <w:iCs w:val="1"/>
          <w:color w:val="auto"/>
        </w:rPr>
        <w:t>Disaggregated Revenues</w:t>
      </w:r>
      <w:r>
        <w:rPr>
          <w:rFonts w:ascii="Arial" w:cs="Arial" w:eastAsia="Arial" w:hAnsi="Arial"/>
          <w:sz w:val="11"/>
          <w:szCs w:val="11"/>
          <w:color w:val="auto"/>
        </w:rPr>
        <w:t xml:space="preserve">, and Note 13, </w:t>
      </w:r>
      <w:r>
        <w:rPr>
          <w:rFonts w:ascii="Arial" w:cs="Arial" w:eastAsia="Arial" w:hAnsi="Arial"/>
          <w:sz w:val="11"/>
          <w:szCs w:val="11"/>
          <w:i w:val="1"/>
          <w:iCs w:val="1"/>
          <w:color w:val="auto"/>
        </w:rPr>
        <w:t>Composition of Other Balance Sheet Items</w:t>
      </w:r>
      <w:r>
        <w:rPr>
          <w:rFonts w:ascii="Arial" w:cs="Arial" w:eastAsia="Arial" w:hAnsi="Arial"/>
          <w:sz w:val="11"/>
          <w:szCs w:val="11"/>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USWM Enterprise Commitments Assumed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As part of the USWM Acquisition, the Company assumed the remaining commitments of USWM Enterprises and its subsidiaries, which are discussed below.</w:t>
      </w:r>
    </w:p>
    <w:p>
      <w:pPr>
        <w:spacing w:after="0" w:line="127" w:lineRule="exact"/>
        <w:rPr>
          <w:sz w:val="20"/>
          <w:szCs w:val="20"/>
          <w:color w:val="auto"/>
        </w:rPr>
      </w:pPr>
    </w:p>
    <w:p>
      <w:pPr>
        <w:ind w:right="100" w:firstLine="439"/>
        <w:spacing w:after="0" w:line="283" w:lineRule="auto"/>
        <w:rPr>
          <w:sz w:val="20"/>
          <w:szCs w:val="20"/>
          <w:color w:val="auto"/>
        </w:rPr>
      </w:pPr>
      <w:r>
        <w:rPr>
          <w:rFonts w:ascii="Arial" w:cs="Arial" w:eastAsia="Arial" w:hAnsi="Arial"/>
          <w:sz w:val="12"/>
          <w:szCs w:val="12"/>
          <w:color w:val="auto"/>
        </w:rPr>
        <w:t xml:space="preserve">Under the Merz Agreement, the annual minimum purchase quantity requirements of MYOBLOC amounted to approximately €3.0 million annually. In October 2021, the Company entered into an amendment to the Merz Agreement. Refer to Note 12,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for further discussion on the contract manufacturing lease and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for further discussion on the contract amendment.</w:t>
      </w:r>
    </w:p>
    <w:p>
      <w:pPr>
        <w:spacing w:after="0" w:line="96" w:lineRule="exact"/>
        <w:rPr>
          <w:sz w:val="20"/>
          <w:szCs w:val="20"/>
          <w:color w:val="auto"/>
        </w:rPr>
      </w:pPr>
    </w:p>
    <w:p>
      <w:pPr>
        <w:ind w:right="60" w:firstLine="439"/>
        <w:spacing w:after="0" w:line="269" w:lineRule="auto"/>
        <w:rPr>
          <w:sz w:val="20"/>
          <w:szCs w:val="20"/>
          <w:color w:val="auto"/>
        </w:rPr>
      </w:pPr>
      <w:r>
        <w:rPr>
          <w:rFonts w:ascii="Arial" w:cs="Arial" w:eastAsia="Arial" w:hAnsi="Arial"/>
          <w:sz w:val="12"/>
          <w:szCs w:val="12"/>
          <w:color w:val="auto"/>
        </w:rPr>
        <w:t xml:space="preserve">In addition, USWM Enterprises had an existing license and distribution agreement for XADAGO. This included an annual minimum promotional spend to support the marketing of XADAGO for the first five years of the agreement. As of September 30, 2021, the remaining contractual commitment for XADAGO is $1.1 million for the period from July 2021 to June 2022. Refer to Note 3, </w:t>
      </w:r>
      <w:r>
        <w:rPr>
          <w:rFonts w:ascii="Arial" w:cs="Arial" w:eastAsia="Arial" w:hAnsi="Arial"/>
          <w:sz w:val="12"/>
          <w:szCs w:val="12"/>
          <w:i w:val="1"/>
          <w:iCs w:val="1"/>
          <w:color w:val="auto"/>
        </w:rPr>
        <w:t>USWM Acquisition</w:t>
      </w:r>
      <w:r>
        <w:rPr>
          <w:rFonts w:ascii="Arial" w:cs="Arial" w:eastAsia="Arial" w:hAnsi="Arial"/>
          <w:sz w:val="12"/>
          <w:szCs w:val="12"/>
          <w:color w:val="auto"/>
        </w:rPr>
        <w:t>, for further discussion on the USWM Acquisition.</w:t>
      </w:r>
    </w:p>
    <w:p>
      <w:pPr>
        <w:spacing w:after="0" w:line="94" w:lineRule="exact"/>
        <w:rPr>
          <w:sz w:val="20"/>
          <w:szCs w:val="20"/>
          <w:color w:val="auto"/>
        </w:rPr>
      </w:pPr>
    </w:p>
    <w:p>
      <w:pPr>
        <w:ind w:firstLine="439"/>
        <w:spacing w:after="0" w:line="291" w:lineRule="auto"/>
        <w:rPr>
          <w:sz w:val="20"/>
          <w:szCs w:val="20"/>
          <w:color w:val="auto"/>
        </w:rPr>
      </w:pPr>
      <w:r>
        <w:rPr>
          <w:rFonts w:ascii="Arial" w:cs="Arial" w:eastAsia="Arial" w:hAnsi="Arial"/>
          <w:sz w:val="11"/>
          <w:szCs w:val="11"/>
          <w:color w:val="auto"/>
        </w:rPr>
        <w:t>In March 2019, which is prior to the USWM Acquisition Closing Date, MDD US Operations, LLC (formerly US WorldMeds, LLC) and its subsidiary, Solstice Neurosciences, LLC (US) (collectively, the MDD Subsidiaries) entered into a Corporate Integrity Agreement (CIA) with the Office of Inspector General of the U.S. Department of Health and Human Services.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remaining obligations of the CIA and could become liable for payment of certain stipulated monetary penalties in the event of any CIA violations. In addition, the Company will continue to incur significant costs through March 2024 to maintain a broad array of processes, policies and procedures necessary to comply with the CIA.</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Claims and Litigation</w:t>
      </w:r>
    </w:p>
    <w:p>
      <w:pPr>
        <w:spacing w:after="0" w:line="137" w:lineRule="exact"/>
        <w:rPr>
          <w:sz w:val="20"/>
          <w:szCs w:val="20"/>
          <w:color w:val="auto"/>
        </w:rPr>
      </w:pPr>
    </w:p>
    <w:p>
      <w:pPr>
        <w:ind w:firstLine="439"/>
        <w:spacing w:after="0" w:line="291" w:lineRule="auto"/>
        <w:rPr>
          <w:sz w:val="20"/>
          <w:szCs w:val="20"/>
          <w:color w:val="auto"/>
        </w:rPr>
      </w:pPr>
      <w:r>
        <w:rPr>
          <w:rFonts w:ascii="Arial" w:cs="Arial" w:eastAsia="Arial" w:hAnsi="Arial"/>
          <w:sz w:val="11"/>
          <w:szCs w:val="11"/>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We do not believe that any of these matters will have a material adverse effect on our financial position. The Company may reassess the potential liability related to these matters and may revise these estimates, which could result in material adverse adjustments to the Company's operating results.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Subsequent Events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Acquisition of Adamas Pharmaceuticals, Inc.</w:t>
      </w:r>
    </w:p>
    <w:p>
      <w:pPr>
        <w:spacing w:after="0" w:line="127" w:lineRule="exact"/>
        <w:rPr>
          <w:sz w:val="20"/>
          <w:szCs w:val="20"/>
          <w:color w:val="auto"/>
        </w:rPr>
      </w:pPr>
    </w:p>
    <w:p>
      <w:pPr>
        <w:ind w:right="20" w:firstLine="439"/>
        <w:spacing w:after="0" w:line="285" w:lineRule="auto"/>
        <w:rPr>
          <w:sz w:val="20"/>
          <w:szCs w:val="20"/>
          <w:color w:val="auto"/>
        </w:rPr>
      </w:pPr>
      <w:r>
        <w:rPr>
          <w:rFonts w:ascii="Arial" w:cs="Arial" w:eastAsia="Arial" w:hAnsi="Arial"/>
          <w:sz w:val="11"/>
          <w:szCs w:val="11"/>
          <w:color w:val="auto"/>
        </w:rPr>
        <w:t>On October 10, 2021, the Company entered into an Agreement and Plan of Merger (the “Merger Agreement”) by and among the Company, Adamas Pharmaceuticals, Inc. (“Adamas”) and Supernus Reef, Inc., a Delaware corporation and a wholly owned subsidiary of the Company (“Purchaser”). Pursuant to the Merger Agreement, and upon the terms and subject to the conditions thereof, the Company has agreed to cause Purchaser to commence a tender offer to purchase all of the outstanding shares of common stock of Adamas, par value $0.001 per share (the “Shares” and each, a “Share”), at an offer price of (i) $8.10 per Share, in cash, less any applicable withholding taxes and without interest (the “Cash Amount”; an aggregate of approximately $400 million), plus (ii) two contingent value rights per Share (each, a “CVR”; an aggregate of approximately $50 million), which represents the right to receive $0.50 per CVR, which CVRs will be governed by the terms of a contingent value rights agreement to be entered into between the Company and a rights agent mutually agreeable to the Company and Adamas (the “CVR Agreement”), in cash, less any applicable withholding taxes and without interest (the Cash Amount plus two CVRs, collectively, or any higher amount per Share paid pursuant to the Offer, the “Offer Price”). Following the consummation of the Offer and subject to the terms and conditions of the Merger Agreement, Purchaser will be merged with and into Adamas pursuant to Section 251(h) of the General Corporation Law of the State of Delaware (the “DGCL”), with Adamas continuing as the surviving corporation in the Merger and a wholly owned subsidiary of the Company. On October 25, 2021, the Purchaser commenced the Offer.</w:t>
      </w:r>
    </w:p>
    <w:p>
      <w:pPr>
        <w:spacing w:after="0" w:line="89" w:lineRule="exact"/>
        <w:rPr>
          <w:sz w:val="20"/>
          <w:szCs w:val="20"/>
          <w:color w:val="auto"/>
        </w:rPr>
      </w:pPr>
    </w:p>
    <w:p>
      <w:pPr>
        <w:ind w:firstLine="439"/>
        <w:spacing w:after="0" w:line="290" w:lineRule="auto"/>
        <w:rPr>
          <w:sz w:val="20"/>
          <w:szCs w:val="20"/>
          <w:color w:val="auto"/>
        </w:rPr>
      </w:pPr>
      <w:r>
        <w:rPr>
          <w:rFonts w:ascii="Arial" w:cs="Arial" w:eastAsia="Arial" w:hAnsi="Arial"/>
          <w:sz w:val="11"/>
          <w:szCs w:val="11"/>
          <w:color w:val="auto"/>
        </w:rPr>
        <w:t>At or prior to the time at which Purchaser accepts the Shares tendered in the Offer for purchase, the Company and a rights agent mutually agreeable to the Company and Adamas shall enter into a CVR Agreement to allow for the payment of the milestones pursuant to each CVR. Subject to the terms of the CVR Agreement, one CVR issued in respect of a Share shall become payable upon the first occurrence of achievement of aggregate worldwide net sales of a specified product in excess of $150 million during any consecutive 12-month period ending on or before December 31, 2024. Subject to the terms of the CVR Agreement, the second CVR issued in respect of each Share shall become payable upon the first occurrence of aggregate worldwide net sales of a specified product in excess of $225 million during any consecutive 12-month period ending on or before December 31, 2025. Each milestone</w:t>
      </w:r>
    </w:p>
    <w:p>
      <w:pPr>
        <w:spacing w:after="0" w:line="2"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with respect to a CVR may only be achieved one time. The maximum amount payable with respect to the CVRs issued in respect to each Share is $1.00. The transaction is expected to close in late fourth quarter 2021 or in early first quarter 2022 and is subject to customary conditions.</w:t>
      </w:r>
    </w:p>
    <w:p>
      <w:pPr>
        <w:spacing w:after="0" w:line="92" w:lineRule="exact"/>
        <w:rPr>
          <w:sz w:val="20"/>
          <w:szCs w:val="20"/>
          <w:color w:val="auto"/>
        </w:rPr>
      </w:pPr>
    </w:p>
    <w:p>
      <w:pPr>
        <w:ind w:right="40" w:firstLine="439"/>
        <w:spacing w:after="0" w:line="235" w:lineRule="auto"/>
        <w:rPr>
          <w:sz w:val="20"/>
          <w:szCs w:val="20"/>
          <w:color w:val="auto"/>
        </w:rPr>
      </w:pPr>
      <w:r>
        <w:rPr>
          <w:rFonts w:ascii="Arial" w:cs="Arial" w:eastAsia="Arial" w:hAnsi="Arial"/>
          <w:sz w:val="12"/>
          <w:szCs w:val="12"/>
          <w:color w:val="auto"/>
        </w:rPr>
        <w:t>Adamas is a commercial-stage pharmaceutical company with a portfolio of therapies to address a range of neurological diseases. Adamas’ commercialized medicine, GOCOVRI</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(amantadine) extended-release capsules, is the first and only FDA-approved medication indicated for the treatment of both "off" episodes and dyskinesia in patients with Parkinson’s disease receiving levodopa-based therapy.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Merz Agreement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 October 2021, the Company entered into an amendment to the Merz Agreement which increased the price of the annual purchase commitment from €3.0 million to approximately €3.9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6" w:name="page27"/>
    <w:bookmarkEnd w:id="2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41" w:lineRule="exact"/>
        <w:rPr>
          <w:sz w:val="20"/>
          <w:szCs w:val="20"/>
          <w:color w:val="auto"/>
        </w:rPr>
      </w:pPr>
    </w:p>
    <w:p>
      <w:pPr>
        <w:ind w:right="120" w:firstLine="439"/>
        <w:spacing w:after="0" w:line="264" w:lineRule="auto"/>
        <w:rPr>
          <w:sz w:val="20"/>
          <w:szCs w:val="20"/>
          <w:color w:val="auto"/>
        </w:rPr>
      </w:pPr>
      <w:r>
        <w:rPr>
          <w:rFonts w:ascii="Arial" w:cs="Arial" w:eastAsia="Arial" w:hAnsi="Arial"/>
          <w:sz w:val="12"/>
          <w:szCs w:val="12"/>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2020 and the related Management’s Discussion and Analysis of Financial Condition and Results of Operations, both of which are contained in our Annual Report on Form 10-K, filed with the Securities and Exchange Commission on March 8, 2021.</w:t>
      </w:r>
    </w:p>
    <w:p>
      <w:pPr>
        <w:spacing w:after="0" w:line="97" w:lineRule="exact"/>
        <w:rPr>
          <w:sz w:val="20"/>
          <w:szCs w:val="20"/>
          <w:color w:val="auto"/>
        </w:rPr>
      </w:pPr>
    </w:p>
    <w:p>
      <w:pPr>
        <w:ind w:firstLine="439"/>
        <w:spacing w:after="0" w:line="285" w:lineRule="auto"/>
        <w:rPr>
          <w:sz w:val="20"/>
          <w:szCs w:val="20"/>
          <w:color w:val="auto"/>
        </w:rPr>
      </w:pPr>
      <w:r>
        <w:rPr>
          <w:rFonts w:ascii="Arial" w:cs="Arial" w:eastAsia="Arial" w:hAnsi="Arial"/>
          <w:sz w:val="11"/>
          <w:szCs w:val="11"/>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89" w:lineRule="exact"/>
        <w:rPr>
          <w:sz w:val="20"/>
          <w:szCs w:val="20"/>
          <w:color w:val="auto"/>
        </w:rPr>
      </w:pPr>
    </w:p>
    <w:p>
      <w:pPr>
        <w:ind w:right="60" w:firstLine="439"/>
        <w:spacing w:after="0" w:line="283" w:lineRule="auto"/>
        <w:rPr>
          <w:sz w:val="20"/>
          <w:szCs w:val="20"/>
          <w:color w:val="auto"/>
        </w:rPr>
      </w:pPr>
      <w:r>
        <w:rPr>
          <w:rFonts w:ascii="Arial" w:cs="Arial" w:eastAsia="Arial" w:hAnsi="Arial"/>
          <w:sz w:val="12"/>
          <w:szCs w:val="12"/>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27" w:name="page28"/>
    <w:bookmarkEnd w:id="2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41" w:lineRule="exact"/>
        <w:rPr>
          <w:sz w:val="20"/>
          <w:szCs w:val="20"/>
          <w:color w:val="auto"/>
        </w:rPr>
      </w:pPr>
    </w:p>
    <w:p>
      <w:pPr>
        <w:ind w:right="100" w:firstLine="439"/>
        <w:spacing w:after="0" w:line="269" w:lineRule="auto"/>
        <w:rPr>
          <w:sz w:val="20"/>
          <w:szCs w:val="20"/>
          <w:color w:val="auto"/>
        </w:rPr>
      </w:pPr>
      <w:r>
        <w:rPr>
          <w:rFonts w:ascii="Arial" w:cs="Arial" w:eastAsia="Arial" w:hAnsi="Arial"/>
          <w:sz w:val="12"/>
          <w:szCs w:val="12"/>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and chronic sialorrhea. We are also developing a broad range of novel CNS product candidates including new potential treatments for ADHD, hypomobility in PD, epilepsy, depression, and rare CNS disorders.</w:t>
      </w:r>
    </w:p>
    <w:p>
      <w:pPr>
        <w:spacing w:after="0" w:line="94" w:lineRule="exact"/>
        <w:rPr>
          <w:sz w:val="20"/>
          <w:szCs w:val="20"/>
          <w:color w:val="auto"/>
        </w:rPr>
      </w:pPr>
    </w:p>
    <w:p>
      <w:pPr>
        <w:ind w:right="100" w:firstLine="439"/>
        <w:spacing w:after="0" w:line="285" w:lineRule="auto"/>
        <w:rPr>
          <w:sz w:val="20"/>
          <w:szCs w:val="20"/>
          <w:color w:val="auto"/>
        </w:rPr>
      </w:pPr>
      <w:r>
        <w:rPr>
          <w:rFonts w:ascii="Arial" w:cs="Arial" w:eastAsia="Arial" w:hAnsi="Arial"/>
          <w:sz w:val="11"/>
          <w:szCs w:val="11"/>
          <w:color w:val="auto"/>
        </w:rPr>
        <w:t>On October 10, 2021, the Company entered into an Agreement and Plan of Merger (the “Merger Agreement”) by and among the Company, Adamas Pharmaceuticals, Inc. (“Adamas”) and Supernus Reef, Inc., a Delaware corporation and a wholly owned subsidiary of the Company (“Purchaser”). Pursuant to the Merger Agreement, and upon the terms and subject to the conditions thereof, the Company has agreed to cause Purchaser to commence a tender offer (the “Offer”) to purchase all of the outstanding shares of common stock of Adamas, par value $0.001 per share (the “Shares” and each, a “Share”), at an offer price of (i) $8.10 per Share, in cash, less any applicable withholding taxes and without interest (the “Cash Amount”; an aggregate of approximately $400 million), plus (ii) two contingent value rights per Share (each, a “CVR”; an aggregate of approximately $50 million), which represents the right to receive $0.50 per CVR, which CVRs will be governed by the terms of a contingent value rights agreement to be entered into between the Company and a rights agent mutually agreeable to the Company and Adamas, in cash, less any applicable withholding taxes and without interest (the Cash Amount plus two CVRs, collectively, or any higher amount per Share paid pursuant to the Offer, the “Offer Price”). Following the consummation of the Offer and subject to the terms and conditions of the Merger Agreement, Purchaser will be merged with and into Adamas (the “Merger”) pursuant to Section 251(h) of the General Corporation Law of the State of Delaware (the “DGCL”), with Adamas continuing as the surviving corporation in the Merger and a wholly owned subsidiary of the Company. On October 25, 2021, the Purchaser commenced the Offer.</w:t>
      </w:r>
    </w:p>
    <w:p>
      <w:pPr>
        <w:spacing w:after="0" w:line="89" w:lineRule="exact"/>
        <w:rPr>
          <w:sz w:val="20"/>
          <w:szCs w:val="20"/>
          <w:color w:val="auto"/>
        </w:rPr>
      </w:pPr>
    </w:p>
    <w:p>
      <w:pPr>
        <w:ind w:firstLine="439"/>
        <w:spacing w:after="0" w:line="290" w:lineRule="auto"/>
        <w:rPr>
          <w:sz w:val="20"/>
          <w:szCs w:val="20"/>
          <w:color w:val="auto"/>
        </w:rPr>
      </w:pPr>
      <w:r>
        <w:rPr>
          <w:rFonts w:ascii="Arial" w:cs="Arial" w:eastAsia="Arial" w:hAnsi="Arial"/>
          <w:sz w:val="11"/>
          <w:szCs w:val="11"/>
          <w:color w:val="auto"/>
        </w:rPr>
        <w:t>At or prior to the time at which Purchaser accepts the Shares tendered in the Offer for purchase, the Company and a rights agent mutually agreeable to the Company and Adamas shall enter into a CVR Agreement to allow for the payment of the milestones pursuant to each CVR. Subject to the terms of the CVR Agreement, one CVR issued in respect of a Share shall become payable upon the first occurrence of achievement of aggregate worldwide net sales of a specified product in excess of $150 million during any consecutive 12-month period ending on or before December 31, 2024. Subject to the terms of the CVR Agreement, the second CVR issued in respect of each Share shall become payable upon the first occurrence of aggregate worldwide net sales of a specified product in excess of $225 million during any consecutive 12-month period ending on or before December 31, 2025. Each milestone</w:t>
      </w:r>
    </w:p>
    <w:p>
      <w:pPr>
        <w:spacing w:after="0" w:line="2"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with respect to a CVR may only be achieved one time. The maximum amount payable with respect to the CVRs issued in respect to each Share is $1.00. The transaction is expected to close in late fourth quarter 2021 or in early first quarter 2022 and is subject to customary conditions.</w:t>
      </w:r>
    </w:p>
    <w:p>
      <w:pPr>
        <w:spacing w:after="0" w:line="92" w:lineRule="exact"/>
        <w:rPr>
          <w:sz w:val="20"/>
          <w:szCs w:val="20"/>
          <w:color w:val="auto"/>
        </w:rPr>
      </w:pPr>
    </w:p>
    <w:p>
      <w:pPr>
        <w:ind w:right="40" w:firstLine="439"/>
        <w:spacing w:after="0" w:line="235" w:lineRule="auto"/>
        <w:rPr>
          <w:sz w:val="20"/>
          <w:szCs w:val="20"/>
          <w:color w:val="auto"/>
        </w:rPr>
      </w:pPr>
      <w:r>
        <w:rPr>
          <w:rFonts w:ascii="Arial" w:cs="Arial" w:eastAsia="Arial" w:hAnsi="Arial"/>
          <w:sz w:val="12"/>
          <w:szCs w:val="12"/>
          <w:color w:val="auto"/>
        </w:rPr>
        <w:t>Adamas is a commercial-stage pharmaceutical company with a portfolio of therapies to address a range of neurological diseases. Adamas’ commercialized medicine, GOCOVRI</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(amantadine) extended-release capsules, is the first and only FDA-approved medication indicated for the treatment of both "off" episodes and dyskinesia in patients with Parkinson’s disease receiving levodopa-based therapy.</w:t>
      </w:r>
    </w:p>
    <w:p>
      <w:pPr>
        <w:spacing w:after="0" w:line="111" w:lineRule="exact"/>
        <w:rPr>
          <w:sz w:val="20"/>
          <w:szCs w:val="20"/>
          <w:color w:val="auto"/>
        </w:rPr>
      </w:pPr>
    </w:p>
    <w:p>
      <w:pPr>
        <w:ind w:right="480" w:firstLine="439"/>
        <w:spacing w:after="0" w:line="331" w:lineRule="auto"/>
        <w:rPr>
          <w:sz w:val="20"/>
          <w:szCs w:val="20"/>
          <w:color w:val="auto"/>
        </w:rPr>
      </w:pPr>
      <w:r>
        <w:rPr>
          <w:rFonts w:ascii="Arial" w:cs="Arial" w:eastAsia="Arial" w:hAnsi="Arial"/>
          <w:sz w:val="11"/>
          <w:szCs w:val="11"/>
          <w:color w:val="auto"/>
        </w:rPr>
        <w:t>In April 2021, the U.S. Food and Drug Administration (FDA) approved Qelbree (SPN-812) for the treatment of ADHD in pediatric patients 6 to 17 years of age. In May 2021, we launched Qelbree in the U.S. On September 2, 2021, the FDA has acknowledged it has received the supplemental new drug application (sNDA) for SPN-812 for adult patients with ADHD and assigned a user fee goal date (PDUFA date) of April 29, 2022.</w:t>
      </w:r>
    </w:p>
    <w:p>
      <w:pPr>
        <w:spacing w:after="0" w:line="63" w:lineRule="exact"/>
        <w:rPr>
          <w:sz w:val="20"/>
          <w:szCs w:val="20"/>
          <w:color w:val="auto"/>
        </w:rPr>
      </w:pPr>
    </w:p>
    <w:p>
      <w:pPr>
        <w:ind w:right="360" w:firstLine="439"/>
        <w:spacing w:after="0" w:line="264" w:lineRule="auto"/>
        <w:rPr>
          <w:sz w:val="20"/>
          <w:szCs w:val="20"/>
          <w:color w:val="auto"/>
        </w:rPr>
      </w:pPr>
      <w:r>
        <w:rPr>
          <w:rFonts w:ascii="Arial" w:cs="Arial" w:eastAsia="Arial" w:hAnsi="Arial"/>
          <w:sz w:val="12"/>
          <w:szCs w:val="12"/>
          <w:color w:val="auto"/>
        </w:rPr>
        <w:t>On April 28, 2020, we entered into a Sale and Purchase Agreement with US WorldMeds Partners, LLC to acquire the CNS portfolio of USWM Enterprises, LLC (USWM Enterprises) (USWM Acquisition). With the acquisition, completed on June 9, 2020, the Company added three established commercial products and a product candidate in late-stage development to its portfolio. These commercial products, APOKYN, XADAGO, and MYOBLOC, are primarily for the treatment of PD. In the second quarter of 2021 and within one year from the Closing Date, the Company finalized its accounting for the business combination, including the purchase price allocation.</w:t>
      </w:r>
    </w:p>
    <w:p>
      <w:pPr>
        <w:spacing w:after="0" w:line="107" w:lineRule="exact"/>
        <w:rPr>
          <w:sz w:val="20"/>
          <w:szCs w:val="20"/>
          <w:color w:val="auto"/>
        </w:rPr>
      </w:pPr>
    </w:p>
    <w:p>
      <w:pPr>
        <w:ind w:right="80" w:firstLine="439"/>
        <w:spacing w:after="0" w:line="304" w:lineRule="auto"/>
        <w:rPr>
          <w:sz w:val="20"/>
          <w:szCs w:val="20"/>
          <w:color w:val="auto"/>
        </w:rPr>
      </w:pPr>
      <w:r>
        <w:rPr>
          <w:rFonts w:ascii="Arial" w:cs="Arial" w:eastAsia="Arial" w:hAnsi="Arial"/>
          <w:sz w:val="11"/>
          <w:szCs w:val="11"/>
          <w:color w:val="auto"/>
        </w:rPr>
        <w:t>On April 21, 2020, we entered into a Development and Option Agreement (Development Agreement) with Navitor Pharmaceuticals, Inc. (Navitor Inc.) and also acquired an ownership position in Navitor Inc. Under the terms of the Development Agreement, the Company and Navitor Inc. will jointly conduct a Phase II clinical program for NV-5138 (SPN-820) in treatment resistant depression (TRD). In March 2021, Navitor Inc. underwent a legal restructuring whereby Navitor Inc. became a wholly owned subsidiary of a newly formed limited liability company, Navitor Pharmaceuticals, LLC (Navitor LLC) (Navitor Restructuring).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have a portfolio of commercial products and product candidates.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Commercial Products</w:t>
      </w:r>
    </w:p>
    <w:p>
      <w:pPr>
        <w:spacing w:after="0" w:line="124" w:lineRule="exact"/>
        <w:rPr>
          <w:sz w:val="20"/>
          <w:szCs w:val="20"/>
          <w:color w:val="auto"/>
        </w:rPr>
      </w:pPr>
    </w:p>
    <w:p>
      <w:pPr>
        <w:ind w:left="420" w:hanging="207"/>
        <w:spacing w:after="0"/>
        <w:tabs>
          <w:tab w:leader="none" w:pos="4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(topiramate) is the first once-daily extended release topiramate product indicated for the treatment of epilepsy in the United States (U.S.) market. It is also indicated for the prophylaxis of migraine headache.</w:t>
      </w:r>
    </w:p>
    <w:p>
      <w:pPr>
        <w:spacing w:after="0" w:line="108" w:lineRule="exact"/>
        <w:rPr>
          <w:rFonts w:ascii="Arial" w:cs="Arial" w:eastAsia="Arial" w:hAnsi="Arial"/>
          <w:sz w:val="11"/>
          <w:szCs w:val="11"/>
          <w:color w:val="auto"/>
        </w:rPr>
      </w:pPr>
    </w:p>
    <w:p>
      <w:pPr>
        <w:ind w:left="440" w:right="100" w:hanging="227"/>
        <w:spacing w:after="0" w:line="232" w:lineRule="auto"/>
        <w:tabs>
          <w:tab w:leader="none" w:pos="437" w:val="left"/>
        </w:tabs>
        <w:numPr>
          <w:ilvl w:val="0"/>
          <w:numId w:val="25"/>
        </w:numPr>
        <w:rPr>
          <w:rFonts w:ascii="Arial" w:cs="Arial" w:eastAsia="Arial" w:hAnsi="Arial"/>
          <w:sz w:val="12"/>
          <w:szCs w:val="12"/>
          <w:color w:val="auto"/>
        </w:rPr>
      </w:pPr>
      <w:r>
        <w:rPr>
          <w:rFonts w:ascii="Arial" w:cs="Arial" w:eastAsia="Arial" w:hAnsi="Arial"/>
          <w:sz w:val="12"/>
          <w:szCs w:val="12"/>
          <w:color w:val="auto"/>
        </w:rPr>
        <w:t>Oxtellar XR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(oxcarbazepine) is indicated as therapy for partial onset seizures in adults and children 6 years to 17 years of age and is the first once-daily extended-release oxcarbazepine product indicated for the treatment of epilepsy in the U.S.</w:t>
      </w:r>
    </w:p>
    <w:p>
      <w:pPr>
        <w:spacing w:after="0" w:line="117" w:lineRule="exact"/>
        <w:rPr>
          <w:rFonts w:ascii="Arial" w:cs="Arial" w:eastAsia="Arial" w:hAnsi="Arial"/>
          <w:sz w:val="12"/>
          <w:szCs w:val="12"/>
          <w:color w:val="auto"/>
        </w:rPr>
      </w:pPr>
    </w:p>
    <w:p>
      <w:pPr>
        <w:ind w:left="420" w:hanging="20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Qelbree</w:t>
      </w:r>
      <w:r>
        <w:rPr>
          <w:rFonts w:ascii="Arial" w:cs="Arial" w:eastAsia="Arial" w:hAnsi="Arial"/>
          <w:sz w:val="15"/>
          <w:szCs w:val="15"/>
          <w:color w:val="auto"/>
          <w:vertAlign w:val="superscript"/>
        </w:rPr>
        <w:t>TM</w:t>
      </w:r>
      <w:r>
        <w:rPr>
          <w:rFonts w:ascii="Arial" w:cs="Arial" w:eastAsia="Arial" w:hAnsi="Arial"/>
          <w:sz w:val="12"/>
          <w:szCs w:val="12"/>
          <w:color w:val="auto"/>
        </w:rPr>
        <w:t xml:space="preserve"> (viloxazine extended-release capsules) is a novel non-stimulant product indicated for the treatment of ADHD in pediatric patients 6 to 17 years of age.</w:t>
      </w:r>
    </w:p>
    <w:p>
      <w:pPr>
        <w:spacing w:after="0" w:line="92" w:lineRule="exact"/>
        <w:rPr>
          <w:rFonts w:ascii="Arial" w:cs="Arial" w:eastAsia="Arial" w:hAnsi="Arial"/>
          <w:sz w:val="12"/>
          <w:szCs w:val="12"/>
          <w:color w:val="auto"/>
        </w:rPr>
      </w:pPr>
    </w:p>
    <w:p>
      <w:pPr>
        <w:ind w:left="440" w:right="140" w:hanging="227"/>
        <w:spacing w:after="0" w:line="235" w:lineRule="auto"/>
        <w:tabs>
          <w:tab w:leader="none" w:pos="437" w:val="left"/>
        </w:tabs>
        <w:numPr>
          <w:ilvl w:val="0"/>
          <w:numId w:val="25"/>
        </w:numPr>
        <w:rPr>
          <w:rFonts w:ascii="Arial" w:cs="Arial" w:eastAsia="Arial" w:hAnsi="Arial"/>
          <w:sz w:val="12"/>
          <w:szCs w:val="12"/>
          <w:color w:val="auto"/>
        </w:rPr>
      </w:pPr>
      <w:r>
        <w:rPr>
          <w:rFonts w:ascii="Arial" w:cs="Arial" w:eastAsia="Arial" w:hAnsi="Arial"/>
          <w:sz w:val="12"/>
          <w:szCs w:val="12"/>
          <w:color w:val="auto"/>
        </w:rPr>
        <w:t>APOKYN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(apomorphine hydrochloride injection) is a product indicated for the acute, intermittent treatment of hypomobility or "off" episodes ("end-of-dose wearing off" and unpredictable "on-off" episodes) in patients with advanced PD.</w:t>
      </w:r>
    </w:p>
    <w:p>
      <w:pPr>
        <w:spacing w:after="0" w:line="111" w:lineRule="exact"/>
        <w:rPr>
          <w:rFonts w:ascii="Arial" w:cs="Arial" w:eastAsia="Arial" w:hAnsi="Arial"/>
          <w:sz w:val="12"/>
          <w:szCs w:val="12"/>
          <w:color w:val="auto"/>
        </w:rPr>
      </w:pPr>
    </w:p>
    <w:p>
      <w:pPr>
        <w:ind w:left="420" w:hanging="20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MYOBLOC</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(rimabotulinumtoxinB) is a product indicated for the treatment of cervical dystonia and sialorrhea in adults, and it is the only Type B toxin available on the market.</w:t>
      </w:r>
    </w:p>
    <w:p>
      <w:pPr>
        <w:spacing w:after="0" w:line="98" w:lineRule="exact"/>
        <w:rPr>
          <w:rFonts w:ascii="Arial" w:cs="Arial" w:eastAsia="Arial" w:hAnsi="Arial"/>
          <w:sz w:val="12"/>
          <w:szCs w:val="12"/>
          <w:color w:val="auto"/>
        </w:rPr>
      </w:pPr>
    </w:p>
    <w:p>
      <w:pPr>
        <w:ind w:left="420" w:hanging="20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(safinamide) is a once-daily product indicated as adjunctive treatment to levodopa/carbidopa in patients with PD experiencing “off” episodes.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Candidates</w:t>
      </w:r>
    </w:p>
    <w:p>
      <w:pPr>
        <w:spacing w:after="0" w:line="127" w:lineRule="exact"/>
        <w:rPr>
          <w:sz w:val="20"/>
          <w:szCs w:val="20"/>
          <w:color w:val="auto"/>
        </w:rPr>
      </w:pPr>
    </w:p>
    <w:p>
      <w:pPr>
        <w:ind w:left="420" w:hanging="207"/>
        <w:spacing w:after="0"/>
        <w:tabs>
          <w:tab w:leader="none" w:pos="420" w:val="left"/>
        </w:tabs>
        <w:numPr>
          <w:ilvl w:val="0"/>
          <w:numId w:val="26"/>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Qelbree (viloxazine, extended-release capsules; </w:t>
      </w:r>
      <w:r>
        <w:rPr>
          <w:rFonts w:ascii="Arial" w:cs="Arial" w:eastAsia="Arial" w:hAnsi="Arial"/>
          <w:sz w:val="12"/>
          <w:szCs w:val="12"/>
          <w:color w:val="auto"/>
        </w:rPr>
        <w:t>SPN-812) is a novel non-stimulant product candidate for the treatment of ADHD in adult patients.</w:t>
      </w:r>
    </w:p>
    <w:p>
      <w:pPr>
        <w:spacing w:after="0" w:line="136" w:lineRule="exact"/>
        <w:rPr>
          <w:rFonts w:ascii="Arial" w:cs="Arial" w:eastAsia="Arial" w:hAnsi="Arial"/>
          <w:sz w:val="12"/>
          <w:szCs w:val="12"/>
          <w:i w:val="1"/>
          <w:iCs w:val="1"/>
          <w:color w:val="auto"/>
        </w:rPr>
      </w:pPr>
    </w:p>
    <w:p>
      <w:pPr>
        <w:ind w:left="420" w:hanging="207"/>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SPN-830 (Apomorphine Infusion Pump) is a late-stage drug/device combination product candidate for the continuous prevention of “off” episodes in PD.</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SPN-817 is a novel product candidate for the treatment of severe epilepsy.</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SPN-820 is a first-in-class product candidate for TRD. It is an orally active small molecule that directly activates brain mechanistic target of rapamycin complex 1 (mTORC1).</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COVID-19 Impact</w:t>
      </w:r>
    </w:p>
    <w:p>
      <w:pPr>
        <w:spacing w:after="0" w:line="127" w:lineRule="exact"/>
        <w:rPr>
          <w:sz w:val="20"/>
          <w:szCs w:val="20"/>
          <w:color w:val="auto"/>
        </w:rPr>
      </w:pPr>
    </w:p>
    <w:p>
      <w:pPr>
        <w:ind w:firstLine="439"/>
        <w:spacing w:after="0" w:line="264" w:lineRule="auto"/>
        <w:rPr>
          <w:sz w:val="20"/>
          <w:szCs w:val="20"/>
          <w:color w:val="auto"/>
        </w:rPr>
      </w:pPr>
      <w:r>
        <w:rPr>
          <w:rFonts w:ascii="Arial" w:cs="Arial" w:eastAsia="Arial" w:hAnsi="Arial"/>
          <w:sz w:val="12"/>
          <w:szCs w:val="12"/>
          <w:color w:val="auto"/>
        </w:rPr>
        <w:t>While the impact of the ongoing COVID-19 pandemic did not have a material adverse effect on our financial position or results of operations for the three and nine months ended September 30, 2021, we continue to closely monitor the events and circumstances surrounding the COVID-19 pandemic and its impact on all aspects of our business operations. Since the situation surrounding the COVID-19 pandemic remains fluid and the duration uncertain, the long-term nature and extent of the impacts of the pandemic on our business operations and financial position cannot be reasonably estimated at this time. See “</w:t>
      </w:r>
      <w:r>
        <w:rPr>
          <w:rFonts w:ascii="Arial" w:cs="Arial" w:eastAsia="Arial" w:hAnsi="Arial"/>
          <w:sz w:val="12"/>
          <w:szCs w:val="12"/>
          <w:i w:val="1"/>
          <w:iCs w:val="1"/>
          <w:color w:val="auto"/>
        </w:rPr>
        <w:t>Risk Factors</w:t>
      </w:r>
      <w:r>
        <w:rPr>
          <w:rFonts w:ascii="Arial" w:cs="Arial" w:eastAsia="Arial" w:hAnsi="Arial"/>
          <w:sz w:val="12"/>
          <w:szCs w:val="12"/>
          <w:color w:val="auto"/>
        </w:rPr>
        <w:t>” in Part I, Item 1A of our Annual Report on Form 10-K for additional information on risk factors that could impact our business and our results.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Highlights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Qelbree Launch Update</w:t>
      </w:r>
    </w:p>
    <w:p>
      <w:pPr>
        <w:spacing w:after="0" w:line="127" w:lineRule="exact"/>
        <w:rPr>
          <w:sz w:val="20"/>
          <w:szCs w:val="20"/>
          <w:color w:val="auto"/>
        </w:rPr>
      </w:pPr>
    </w:p>
    <w:p>
      <w:pPr>
        <w:jc w:val="both"/>
        <w:ind w:left="440" w:hanging="227"/>
        <w:spacing w:after="0" w:line="388" w:lineRule="auto"/>
        <w:tabs>
          <w:tab w:leader="none" w:pos="437" w:val="left"/>
        </w:tabs>
        <w:numPr>
          <w:ilvl w:val="0"/>
          <w:numId w:val="27"/>
        </w:numPr>
        <w:rPr>
          <w:rFonts w:ascii="Arial" w:cs="Arial" w:eastAsia="Arial" w:hAnsi="Arial"/>
          <w:sz w:val="10"/>
          <w:szCs w:val="10"/>
          <w:color w:val="auto"/>
        </w:rPr>
      </w:pPr>
      <w:r>
        <w:rPr>
          <w:rFonts w:ascii="Arial" w:cs="Arial" w:eastAsia="Arial" w:hAnsi="Arial"/>
          <w:sz w:val="10"/>
          <w:szCs w:val="10"/>
          <w:color w:val="auto"/>
        </w:rPr>
        <w:t>Qelbree's growth has accelerated with the arrival of the "back to school" season in the third quarter of 2021, reaching total monthly prescriptions in September of 7,132, an increase of 37% compared to August and up 118% compared to the monthly average during the previous three months period. The latest weekly prescriptions data shows 2,248 prescriptions, an increase of 51% compared to the weekly average over the prior 12-week period.</w:t>
      </w:r>
    </w:p>
    <w:p>
      <w:pPr>
        <w:spacing w:after="0" w:line="39" w:lineRule="exact"/>
        <w:rPr>
          <w:rFonts w:ascii="Arial" w:cs="Arial" w:eastAsia="Arial" w:hAnsi="Arial"/>
          <w:sz w:val="10"/>
          <w:szCs w:val="10"/>
          <w:color w:val="auto"/>
        </w:rPr>
      </w:pPr>
    </w:p>
    <w:p>
      <w:pPr>
        <w:ind w:left="420" w:hanging="20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 addition, Qelbree's base of prescribers' has grown by 340% during the third quarter of 2021 compared to the second quarter of 2021, with more than 3,470 physicians prescribing the product.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9" w:name="page30"/>
    <w:bookmarkEnd w:id="2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Pipeline Update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Qelbree (viloxazine, extended-release capsules) - Novel non-stimulant for the treatment of ADHD in adults</w:t>
      </w:r>
    </w:p>
    <w:p>
      <w:pPr>
        <w:spacing w:after="0" w:line="127" w:lineRule="exact"/>
        <w:rPr>
          <w:sz w:val="20"/>
          <w:szCs w:val="20"/>
          <w:color w:val="auto"/>
        </w:rPr>
      </w:pPr>
    </w:p>
    <w:p>
      <w:pPr>
        <w:ind w:left="440" w:right="140" w:hanging="227"/>
        <w:spacing w:after="0" w:line="283" w:lineRule="auto"/>
        <w:tabs>
          <w:tab w:leader="none" w:pos="437"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U.S. Food and Drug Administration (FDA) acknowledged it has received the supplemental new drug application (sNDA) for Qelbree for the treatment of ADHD in adult patients. The sNDA has a user fee goal date (PDUFA date) of April 29, 2022.</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SPN-830 (apomorphine infusion pump) - Continuous treatment of motor fluctuations (“on-off” episodes) in Parkinson's disease (PD)</w:t>
      </w:r>
    </w:p>
    <w:p>
      <w:pPr>
        <w:spacing w:after="0" w:line="137" w:lineRule="exact"/>
        <w:rPr>
          <w:sz w:val="20"/>
          <w:szCs w:val="20"/>
          <w:color w:val="auto"/>
        </w:rPr>
      </w:pPr>
    </w:p>
    <w:p>
      <w:pPr>
        <w:ind w:left="420" w:hanging="20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We expect to resubmit the SPN-830 NDA to the FDA in November 2021.</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SPN-820 - Novel first-in-class activator of mTORC1</w:t>
      </w:r>
    </w:p>
    <w:p>
      <w:pPr>
        <w:spacing w:after="0" w:line="127" w:lineRule="exact"/>
        <w:rPr>
          <w:sz w:val="20"/>
          <w:szCs w:val="20"/>
          <w:color w:val="auto"/>
        </w:rPr>
      </w:pPr>
    </w:p>
    <w:p>
      <w:pPr>
        <w:ind w:left="440" w:hanging="227"/>
        <w:spacing w:after="0" w:line="283" w:lineRule="auto"/>
        <w:tabs>
          <w:tab w:leader="none" w:pos="437" w:val="left"/>
        </w:tabs>
        <w:numPr>
          <w:ilvl w:val="0"/>
          <w:numId w:val="30"/>
        </w:numPr>
        <w:rPr>
          <w:rFonts w:ascii="Arial" w:cs="Arial" w:eastAsia="Arial" w:hAnsi="Arial"/>
          <w:sz w:val="12"/>
          <w:szCs w:val="12"/>
          <w:color w:val="auto"/>
        </w:rPr>
      </w:pPr>
      <w:r>
        <w:rPr>
          <w:rFonts w:ascii="Arial" w:cs="Arial" w:eastAsia="Arial" w:hAnsi="Arial"/>
          <w:sz w:val="12"/>
          <w:szCs w:val="12"/>
          <w:color w:val="auto"/>
        </w:rPr>
        <w:t>An Investigational New Drug (IND) application was submitted to the FDA in September 2021. Consequently, the randomized Phase II clinical study in treatment-resistant depression is on track and expected to start by the end of 2021.</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SPN-817 – A novel product candidate for the treatment of epilepsy</w:t>
      </w:r>
    </w:p>
    <w:p>
      <w:pPr>
        <w:spacing w:after="0" w:line="127" w:lineRule="exact"/>
        <w:rPr>
          <w:sz w:val="20"/>
          <w:szCs w:val="20"/>
          <w:color w:val="auto"/>
        </w:rPr>
      </w:pPr>
    </w:p>
    <w:p>
      <w:pPr>
        <w:ind w:left="420" w:hanging="207"/>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 randomized Phase II clinical study for the treatment of focal seizures is expected to start in the second half of 2022.</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SPN-443 and SPN-446 - Two novel CNS drug candidates nominated for development</w:t>
      </w:r>
    </w:p>
    <w:p>
      <w:pPr>
        <w:spacing w:after="0" w:line="137" w:lineRule="exact"/>
        <w:rPr>
          <w:sz w:val="20"/>
          <w:szCs w:val="20"/>
          <w:color w:val="auto"/>
        </w:rPr>
      </w:pPr>
    </w:p>
    <w:p>
      <w:pPr>
        <w:ind w:left="420" w:hanging="207"/>
        <w:spacing w:after="0"/>
        <w:tabs>
          <w:tab w:leader="none" w:pos="4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Our internal research and development discovery program generated several new chemical entities including SPN-443 and SPN-446 that were nominated for development across various CNS indications including ADHD.</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the Use of Estimates</w:t>
      </w:r>
    </w:p>
    <w:p>
      <w:pPr>
        <w:spacing w:after="0" w:line="131" w:lineRule="exact"/>
        <w:rPr>
          <w:sz w:val="20"/>
          <w:szCs w:val="20"/>
          <w:color w:val="auto"/>
        </w:rPr>
      </w:pPr>
    </w:p>
    <w:p>
      <w:pPr>
        <w:ind w:right="20" w:firstLine="439"/>
        <w:spacing w:after="0" w:line="347" w:lineRule="auto"/>
        <w:rPr>
          <w:sz w:val="20"/>
          <w:szCs w:val="20"/>
          <w:color w:val="auto"/>
        </w:rPr>
      </w:pPr>
      <w:r>
        <w:rPr>
          <w:rFonts w:ascii="Arial" w:cs="Arial" w:eastAsia="Arial" w:hAnsi="Arial"/>
          <w:sz w:val="10"/>
          <w:szCs w:val="10"/>
          <w:color w:val="auto"/>
        </w:rPr>
        <w:t>Our condensed consolidated financial statements are prepared in accordance with U.S. generally accepted accounting principles (U.S. GAAP), requiring us to make estimates, judgments, and assumptions that affect the reported amounts of assets, liabilities, revenues, and expenses, and other related disclosures. Some judgments can be subjective and complex, and therefore, actual results could differ materially from those estimates under different assumptions or conditions. We believe the judgments, estimates, and assumptions associated with the following critical accounting policies have the greatest potential impact on our condensed consolidated financial statements:</w:t>
      </w:r>
    </w:p>
    <w:p>
      <w:pPr>
        <w:spacing w:after="0" w:line="69" w:lineRule="exact"/>
        <w:rPr>
          <w:sz w:val="20"/>
          <w:szCs w:val="20"/>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Revenue recognition;</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Business combination accounting and valuation of acquired assets, including goodwill and intangible assets; and</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Income taxes.</w:t>
      </w:r>
    </w:p>
    <w:p>
      <w:pPr>
        <w:spacing w:after="0" w:line="137" w:lineRule="exact"/>
        <w:rPr>
          <w:sz w:val="20"/>
          <w:szCs w:val="20"/>
          <w:color w:val="auto"/>
        </w:rPr>
      </w:pPr>
    </w:p>
    <w:p>
      <w:pPr>
        <w:ind w:right="120" w:firstLine="439"/>
        <w:spacing w:after="0" w:line="283" w:lineRule="auto"/>
        <w:rPr>
          <w:sz w:val="20"/>
          <w:szCs w:val="20"/>
          <w:color w:val="auto"/>
        </w:rPr>
      </w:pPr>
      <w:r>
        <w:rPr>
          <w:rFonts w:ascii="Arial" w:cs="Arial" w:eastAsia="Arial" w:hAnsi="Arial"/>
          <w:sz w:val="12"/>
          <w:szCs w:val="12"/>
          <w:color w:val="auto"/>
        </w:rPr>
        <w:t>There were no changes to the disclosures with respect to the above listed critical accounting policies in our Annual Report on Form 10-K for the year ended December 31, 2020. A summary of our significant accounting policies appears in the notes to our audited consolidated financial statements included in the Annual Report on Form 10-K for the year ended December 31, 2020.</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30" w:name="page31"/>
    <w:bookmarkEnd w:id="30"/>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Results of Operations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Comparison of the Three and Nine Months ended September 30, 2021 and 2020</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Revenues</w:t>
      </w:r>
    </w:p>
    <w:p>
      <w:pPr>
        <w:spacing w:after="0" w:line="127" w:lineRule="exact"/>
        <w:rPr>
          <w:sz w:val="20"/>
          <w:szCs w:val="20"/>
          <w:color w:val="auto"/>
        </w:rPr>
      </w:pPr>
    </w:p>
    <w:p>
      <w:pPr>
        <w:ind w:left="7" w:right="80" w:firstLine="439"/>
        <w:spacing w:after="0" w:line="273" w:lineRule="auto"/>
        <w:rPr>
          <w:sz w:val="20"/>
          <w:szCs w:val="20"/>
          <w:color w:val="auto"/>
        </w:rPr>
      </w:pPr>
      <w:r>
        <w:rPr>
          <w:rFonts w:ascii="Arial" w:cs="Arial" w:eastAsia="Arial" w:hAnsi="Arial"/>
          <w:sz w:val="12"/>
          <w:szCs w:val="12"/>
          <w:color w:val="auto"/>
        </w:rPr>
        <w:t>Revenues consist primarily of net product sales of our commercial products in the U.S., supplemented by royalty revenues from our collaborative licensing arrangements. The following table provides information regarding our revenues during the three and nine months ended September 30, 2021 and 2020 (dollars in thousands):</w:t>
      </w:r>
    </w:p>
    <w:tbl>
      <w:tblPr>
        <w:tblLayout w:type="fixed"/>
        <w:tblInd w:w="7" w:type="dxa"/>
        <w:tblCellMar>
          <w:top w:w="0" w:type="dxa"/>
          <w:left w:w="0" w:type="dxa"/>
          <w:bottom w:w="0" w:type="dxa"/>
          <w:right w:w="0" w:type="dxa"/>
        </w:tblCellMar>
      </w:tblPr>
      <w:tr>
        <w:trPr>
          <w:trHeight w:val="98"/>
        </w:trPr>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00" w:type="dxa"/>
            <w:vAlign w:val="bottom"/>
            <w:gridSpan w:val="4"/>
          </w:tcPr>
          <w:p>
            <w:pPr>
              <w:jc w:val="right"/>
              <w:ind w:right="39"/>
              <w:spacing w:after="0" w:line="98" w:lineRule="exact"/>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gridSpan w:val="3"/>
            <w:vMerge w:val="restart"/>
          </w:tcPr>
          <w:p>
            <w:pPr>
              <w:ind w:left="540"/>
              <w:spacing w:after="0"/>
              <w:rPr>
                <w:sz w:val="20"/>
                <w:szCs w:val="20"/>
                <w:color w:val="auto"/>
              </w:rPr>
            </w:pPr>
            <w:r>
              <w:rPr>
                <w:rFonts w:ascii="Arial" w:cs="Arial" w:eastAsia="Arial" w:hAnsi="Arial"/>
                <w:sz w:val="10"/>
                <w:szCs w:val="10"/>
                <w:b w:val="1"/>
                <w:bCs w:val="1"/>
                <w:color w:val="auto"/>
              </w:rPr>
              <w:t>Change</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00" w:type="dxa"/>
            <w:vAlign w:val="bottom"/>
            <w:gridSpan w:val="4"/>
          </w:tcPr>
          <w:p>
            <w:pPr>
              <w:jc w:val="right"/>
              <w:ind w:right="39"/>
              <w:spacing w:after="0" w:line="98" w:lineRule="exact"/>
              <w:rPr>
                <w:sz w:val="20"/>
                <w:szCs w:val="20"/>
                <w:color w:val="auto"/>
              </w:rPr>
            </w:pPr>
            <w:r>
              <w:rPr>
                <w:rFonts w:ascii="Arial" w:cs="Arial" w:eastAsia="Arial" w:hAnsi="Arial"/>
                <w:sz w:val="10"/>
                <w:szCs w:val="10"/>
                <w:b w:val="1"/>
                <w:bCs w:val="1"/>
                <w:color w:val="auto"/>
              </w:rPr>
              <w:t>Nine Months ended</w:t>
            </w: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gridSpan w:val="3"/>
            <w:vMerge w:val="restart"/>
          </w:tcPr>
          <w:p>
            <w:pPr>
              <w:ind w:left="540"/>
              <w:spacing w:after="0"/>
              <w:rPr>
                <w:sz w:val="20"/>
                <w:szCs w:val="20"/>
                <w:color w:val="auto"/>
              </w:rPr>
            </w:pPr>
            <w:r>
              <w:rPr>
                <w:rFonts w:ascii="Arial" w:cs="Arial" w:eastAsia="Arial" w:hAnsi="Arial"/>
                <w:sz w:val="10"/>
                <w:szCs w:val="10"/>
                <w:b w:val="1"/>
                <w:bCs w:val="1"/>
                <w:color w:val="auto"/>
              </w:rPr>
              <w:t>Change</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gridSpan w:val="3"/>
            <w:vMerge w:val="restart"/>
          </w:tcPr>
          <w:p>
            <w:pPr>
              <w:ind w:left="460"/>
              <w:spacing w:after="0"/>
              <w:rPr>
                <w:sz w:val="20"/>
                <w:szCs w:val="20"/>
                <w:color w:val="auto"/>
              </w:rPr>
            </w:pPr>
            <w:r>
              <w:rPr>
                <w:rFonts w:ascii="Arial" w:cs="Arial" w:eastAsia="Arial" w:hAnsi="Arial"/>
                <w:sz w:val="10"/>
                <w:szCs w:val="10"/>
                <w:b w:val="1"/>
                <w:bCs w:val="1"/>
                <w:color w:val="auto"/>
                <w:w w:val="96"/>
              </w:rPr>
              <w:t>September 30,</w:t>
            </w: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gridSpan w:val="3"/>
            <w:vMerge w:val="restart"/>
          </w:tcPr>
          <w:p>
            <w:pPr>
              <w:ind w:left="460"/>
              <w:spacing w:after="0"/>
              <w:rPr>
                <w:sz w:val="20"/>
                <w:szCs w:val="20"/>
                <w:color w:val="auto"/>
              </w:rPr>
            </w:pPr>
            <w:r>
              <w:rPr>
                <w:rFonts w:ascii="Arial" w:cs="Arial" w:eastAsia="Arial" w:hAnsi="Arial"/>
                <w:sz w:val="10"/>
                <w:szCs w:val="10"/>
                <w:b w:val="1"/>
                <w:bCs w:val="1"/>
                <w:color w:val="auto"/>
                <w:w w:val="99"/>
              </w:rPr>
              <w:t>September 30,</w:t>
            </w: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3"/>
            <w:vMerge w:val="continue"/>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right"/>
              <w:ind w:right="322"/>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ind w:right="32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ind w:left="200"/>
              <w:spacing w:after="0"/>
              <w:rPr>
                <w:sz w:val="20"/>
                <w:szCs w:val="20"/>
                <w:color w:val="auto"/>
              </w:rPr>
            </w:pPr>
            <w:r>
              <w:rPr>
                <w:rFonts w:ascii="Arial" w:cs="Arial" w:eastAsia="Arial" w:hAnsi="Arial"/>
                <w:sz w:val="10"/>
                <w:szCs w:val="10"/>
                <w:b w:val="1"/>
                <w:bCs w:val="1"/>
                <w:color w:val="auto"/>
                <w:w w:val="81"/>
              </w:rPr>
              <w:t>Percent</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jc w:val="right"/>
              <w:ind w:right="322"/>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jc w:val="right"/>
              <w:ind w:right="32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ind w:left="200"/>
              <w:spacing w:after="0"/>
              <w:rPr>
                <w:sz w:val="20"/>
                <w:szCs w:val="20"/>
                <w:color w:val="auto"/>
              </w:rPr>
            </w:pPr>
            <w:r>
              <w:rPr>
                <w:rFonts w:ascii="Arial" w:cs="Arial" w:eastAsia="Arial" w:hAnsi="Arial"/>
                <w:sz w:val="10"/>
                <w:szCs w:val="10"/>
                <w:b w:val="1"/>
                <w:bCs w:val="1"/>
                <w:color w:val="auto"/>
                <w:w w:val="81"/>
              </w:rPr>
              <w:t>Percent</w:t>
            </w:r>
          </w:p>
        </w:tc>
        <w:tc>
          <w:tcPr>
            <w:tcW w:w="0" w:type="dxa"/>
            <w:vAlign w:val="bottom"/>
          </w:tcPr>
          <w:p>
            <w:pPr>
              <w:spacing w:after="0"/>
              <w:rPr>
                <w:sz w:val="1"/>
                <w:szCs w:val="1"/>
                <w:color w:val="auto"/>
              </w:rPr>
            </w:pPr>
          </w:p>
        </w:tc>
      </w:tr>
      <w:tr>
        <w:trPr>
          <w:trHeight w:val="137"/>
        </w:trPr>
        <w:tc>
          <w:tcPr>
            <w:tcW w:w="4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sales</w:t>
            </w:r>
          </w:p>
        </w:tc>
        <w:tc>
          <w:tcPr>
            <w:tcW w:w="70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2"/>
                <w:szCs w:val="12"/>
                <w:color w:val="auto"/>
              </w:rPr>
              <w:t>Net product</w:t>
            </w:r>
          </w:p>
        </w:tc>
        <w:tc>
          <w:tcPr>
            <w:tcW w:w="6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4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40" w:type="dxa"/>
            <w:vAlign w:val="bottom"/>
            <w:vMerge w:val="restart"/>
          </w:tcPr>
          <w:p>
            <w:pPr>
              <w:ind w:left="80"/>
              <w:spacing w:after="0"/>
              <w:rPr>
                <w:sz w:val="20"/>
                <w:szCs w:val="20"/>
                <w:color w:val="auto"/>
              </w:rPr>
            </w:pPr>
            <w:r>
              <w:rPr>
                <w:rFonts w:ascii="Arial" w:cs="Arial" w:eastAsia="Arial" w:hAnsi="Arial"/>
                <w:sz w:val="12"/>
                <w:szCs w:val="12"/>
                <w:color w:val="auto"/>
              </w:rPr>
              <w:t>XR</w:t>
            </w:r>
          </w:p>
        </w:tc>
        <w:tc>
          <w:tcPr>
            <w:tcW w:w="700" w:type="dxa"/>
            <w:vAlign w:val="bottom"/>
          </w:tcPr>
          <w:p>
            <w:pPr>
              <w:ind w:left="80"/>
              <w:spacing w:after="0"/>
              <w:rPr>
                <w:sz w:val="20"/>
                <w:szCs w:val="20"/>
                <w:color w:val="auto"/>
              </w:rPr>
            </w:pPr>
            <w:r>
              <w:rPr>
                <w:rFonts w:ascii="Arial" w:cs="Arial" w:eastAsia="Arial" w:hAnsi="Arial"/>
                <w:sz w:val="12"/>
                <w:szCs w:val="12"/>
                <w:color w:val="auto"/>
              </w:rPr>
              <w:t>Trokendi</w:t>
            </w:r>
          </w:p>
        </w:tc>
        <w:tc>
          <w:tcPr>
            <w:tcW w:w="68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80,935</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vMerge w:val="restart"/>
          </w:tcPr>
          <w:p>
            <w:pPr>
              <w:jc w:val="right"/>
              <w:ind w:right="139"/>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82,906</w:t>
            </w:r>
          </w:p>
        </w:tc>
        <w:tc>
          <w:tcPr>
            <w:tcW w:w="60" w:type="dxa"/>
            <w:vAlign w:val="bottom"/>
          </w:tcPr>
          <w:p>
            <w:pPr>
              <w:spacing w:after="0"/>
              <w:rPr>
                <w:sz w:val="13"/>
                <w:szCs w:val="13"/>
                <w:color w:val="auto"/>
              </w:rPr>
            </w:pPr>
          </w:p>
        </w:tc>
        <w:tc>
          <w:tcPr>
            <w:tcW w:w="60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(1,971)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vMerge w:val="restart"/>
          </w:tcPr>
          <w:p>
            <w:pPr>
              <w:jc w:val="center"/>
              <w:ind w:left="12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3"/>
                <w:szCs w:val="13"/>
                <w:color w:val="auto"/>
              </w:rPr>
            </w:pPr>
          </w:p>
        </w:tc>
        <w:tc>
          <w:tcPr>
            <w:tcW w:w="66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231,531</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241,131</w:t>
            </w:r>
          </w:p>
        </w:tc>
        <w:tc>
          <w:tcPr>
            <w:tcW w:w="60" w:type="dxa"/>
            <w:vAlign w:val="bottom"/>
          </w:tcPr>
          <w:p>
            <w:pPr>
              <w:spacing w:after="0"/>
              <w:rPr>
                <w:sz w:val="13"/>
                <w:szCs w:val="13"/>
                <w:color w:val="auto"/>
              </w:rPr>
            </w:pPr>
          </w:p>
        </w:tc>
        <w:tc>
          <w:tcPr>
            <w:tcW w:w="60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(9,600)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vMerge w:val="restart"/>
          </w:tcPr>
          <w:p>
            <w:pPr>
              <w:jc w:val="center"/>
              <w:ind w:left="140"/>
              <w:spacing w:after="0"/>
              <w:rPr>
                <w:sz w:val="20"/>
                <w:szCs w:val="20"/>
                <w:color w:val="auto"/>
              </w:rPr>
            </w:pPr>
            <w:r>
              <w:rPr>
                <w:rFonts w:ascii="Arial" w:cs="Arial" w:eastAsia="Arial" w:hAnsi="Arial"/>
                <w:sz w:val="12"/>
                <w:szCs w:val="12"/>
                <w:color w:val="auto"/>
                <w:w w:val="94"/>
              </w:rPr>
              <w:t>(4)%</w:t>
            </w:r>
          </w:p>
        </w:tc>
        <w:tc>
          <w:tcPr>
            <w:tcW w:w="0" w:type="dxa"/>
            <w:vAlign w:val="bottom"/>
          </w:tcPr>
          <w:p>
            <w:pPr>
              <w:spacing w:after="0"/>
              <w:rPr>
                <w:sz w:val="1"/>
                <w:szCs w:val="1"/>
                <w:color w:val="auto"/>
              </w:rPr>
            </w:pPr>
          </w:p>
        </w:tc>
      </w:tr>
      <w:tr>
        <w:trPr>
          <w:trHeight w:val="119"/>
        </w:trPr>
        <w:tc>
          <w:tcPr>
            <w:tcW w:w="4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12"/>
                <w:szCs w:val="12"/>
                <w:color w:val="auto"/>
                <w:w w:val="97"/>
              </w:rPr>
              <w:t>Oxtellar XR</w:t>
            </w: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29,728</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28,364</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1,364</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ind w:left="120"/>
              <w:spacing w:after="0"/>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82,120</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75,983</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ind w:left="140"/>
              <w:spacing w:after="0"/>
              <w:rPr>
                <w:sz w:val="20"/>
                <w:szCs w:val="20"/>
                <w:color w:val="auto"/>
              </w:rPr>
            </w:pPr>
            <w:r>
              <w:rPr>
                <w:rFonts w:ascii="Arial" w:cs="Arial" w:eastAsia="Arial" w:hAnsi="Arial"/>
                <w:sz w:val="12"/>
                <w:szCs w:val="12"/>
                <w:color w:val="auto"/>
                <w:w w:val="91"/>
              </w:rPr>
              <w:t>8%</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auto"/>
              </w:rPr>
              <w:t>APOKYN</w:t>
            </w:r>
          </w:p>
        </w:tc>
        <w:tc>
          <w:tcPr>
            <w:tcW w:w="6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24,627</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34,482</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(9,855)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center"/>
              <w:ind w:left="120"/>
              <w:spacing w:after="0"/>
              <w:rPr>
                <w:sz w:val="20"/>
                <w:szCs w:val="20"/>
                <w:color w:val="auto"/>
              </w:rPr>
            </w:pPr>
            <w:r>
              <w:rPr>
                <w:rFonts w:ascii="Arial" w:cs="Arial" w:eastAsia="Arial" w:hAnsi="Arial"/>
                <w:sz w:val="12"/>
                <w:szCs w:val="12"/>
                <w:color w:val="auto"/>
                <w:w w:val="93"/>
              </w:rPr>
              <w:t>(29)%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73,338</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43,082</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30,256</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center"/>
              <w:ind w:left="120"/>
              <w:spacing w:after="0"/>
              <w:rPr>
                <w:sz w:val="20"/>
                <w:szCs w:val="20"/>
                <w:color w:val="auto"/>
              </w:rPr>
            </w:pPr>
            <w:r>
              <w:rPr>
                <w:rFonts w:ascii="Arial" w:cs="Arial" w:eastAsia="Arial" w:hAnsi="Arial"/>
                <w:sz w:val="12"/>
                <w:szCs w:val="12"/>
                <w:color w:val="auto"/>
                <w:w w:val="91"/>
              </w:rPr>
              <w:t>70%</w:t>
            </w:r>
          </w:p>
        </w:tc>
        <w:tc>
          <w:tcPr>
            <w:tcW w:w="0" w:type="dxa"/>
            <w:vAlign w:val="bottom"/>
          </w:tcPr>
          <w:p>
            <w:pPr>
              <w:spacing w:after="0"/>
              <w:rPr>
                <w:sz w:val="1"/>
                <w:szCs w:val="1"/>
                <w:color w:val="auto"/>
              </w:rPr>
            </w:pPr>
          </w:p>
        </w:tc>
      </w:tr>
      <w:tr>
        <w:trPr>
          <w:trHeight w:val="155"/>
        </w:trPr>
        <w:tc>
          <w:tcPr>
            <w:tcW w:w="440" w:type="dxa"/>
            <w:vAlign w:val="bottom"/>
            <w:vMerge w:val="restart"/>
            <w:shd w:val="clear" w:color="auto" w:fill="CCEEFF"/>
          </w:tcPr>
          <w:p>
            <w:pPr>
              <w:ind w:left="80"/>
              <w:spacing w:after="0"/>
              <w:rPr>
                <w:sz w:val="20"/>
                <w:szCs w:val="20"/>
                <w:color w:val="auto"/>
              </w:rPr>
            </w:pPr>
            <w:r>
              <w:rPr>
                <w:rFonts w:ascii="Arial" w:cs="Arial" w:eastAsia="Arial" w:hAnsi="Arial"/>
                <w:sz w:val="8"/>
                <w:szCs w:val="8"/>
                <w:color w:val="auto"/>
              </w:rPr>
              <w:t>(1)</w:t>
            </w:r>
          </w:p>
        </w:tc>
        <w:tc>
          <w:tcPr>
            <w:tcW w:w="700" w:type="dxa"/>
            <w:vAlign w:val="bottom"/>
            <w:shd w:val="clear" w:color="auto" w:fill="CCEEFF"/>
          </w:tcPr>
          <w:p>
            <w:pPr>
              <w:ind w:left="80"/>
              <w:spacing w:after="0"/>
              <w:rPr>
                <w:sz w:val="20"/>
                <w:szCs w:val="20"/>
                <w:color w:val="auto"/>
              </w:rPr>
            </w:pPr>
            <w:r>
              <w:rPr>
                <w:rFonts w:ascii="Arial" w:cs="Arial" w:eastAsia="Arial" w:hAnsi="Arial"/>
                <w:sz w:val="12"/>
                <w:szCs w:val="12"/>
                <w:color w:val="auto"/>
                <w:w w:val="99"/>
              </w:rPr>
              <w:t>MYOBLOC</w:t>
            </w:r>
          </w:p>
        </w:tc>
        <w:tc>
          <w:tcPr>
            <w:tcW w:w="6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4,596</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4,050</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center"/>
              <w:ind w:left="120"/>
              <w:spacing w:after="0"/>
              <w:rPr>
                <w:sz w:val="20"/>
                <w:szCs w:val="20"/>
                <w:color w:val="auto"/>
              </w:rPr>
            </w:pPr>
            <w:r>
              <w:rPr>
                <w:rFonts w:ascii="Arial" w:cs="Arial" w:eastAsia="Arial" w:hAnsi="Arial"/>
                <w:sz w:val="12"/>
                <w:szCs w:val="12"/>
                <w:color w:val="auto"/>
                <w:w w:val="91"/>
              </w:rPr>
              <w:t>13%</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13,477</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5,279</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8,198</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center"/>
              <w:ind w:lef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4"/>
        </w:trPr>
        <w:tc>
          <w:tcPr>
            <w:tcW w:w="440" w:type="dxa"/>
            <w:vAlign w:val="bottom"/>
            <w:vMerge w:val="continue"/>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auto"/>
              </w:rPr>
              <w:t>XADAGO</w:t>
            </w:r>
          </w:p>
        </w:tc>
        <w:tc>
          <w:tcPr>
            <w:tcW w:w="6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3,276</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2,331</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945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center"/>
              <w:ind w:left="120"/>
              <w:spacing w:after="0"/>
              <w:rPr>
                <w:sz w:val="20"/>
                <w:szCs w:val="20"/>
                <w:color w:val="auto"/>
              </w:rPr>
            </w:pPr>
            <w:r>
              <w:rPr>
                <w:rFonts w:ascii="Arial" w:cs="Arial" w:eastAsia="Arial" w:hAnsi="Arial"/>
                <w:sz w:val="12"/>
                <w:szCs w:val="12"/>
                <w:color w:val="auto"/>
                <w:w w:val="91"/>
              </w:rPr>
              <w:t>41%</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9,390</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3,132</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6,258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center"/>
              <w:ind w:lef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Qelbree</w:t>
            </w: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2,370</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2,370</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ind w:lef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2,685</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2,685</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ind w:lef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9"/>
        </w:trPr>
        <w:tc>
          <w:tcPr>
            <w:tcW w:w="440" w:type="dxa"/>
            <w:vAlign w:val="bottom"/>
          </w:tcPr>
          <w:p>
            <w:pPr>
              <w:spacing w:after="0"/>
              <w:rPr>
                <w:sz w:val="8"/>
                <w:szCs w:val="8"/>
                <w:color w:val="auto"/>
              </w:rPr>
            </w:pPr>
          </w:p>
        </w:tc>
        <w:tc>
          <w:tcPr>
            <w:tcW w:w="700" w:type="dxa"/>
            <w:vAlign w:val="bottom"/>
          </w:tcPr>
          <w:p>
            <w:pPr>
              <w:spacing w:after="0" w:line="100" w:lineRule="exact"/>
              <w:rPr>
                <w:sz w:val="20"/>
                <w:szCs w:val="20"/>
                <w:color w:val="auto"/>
              </w:rPr>
            </w:pPr>
            <w:r>
              <w:rPr>
                <w:rFonts w:ascii="Arial" w:cs="Arial" w:eastAsia="Arial" w:hAnsi="Arial"/>
                <w:sz w:val="11"/>
                <w:szCs w:val="11"/>
                <w:color w:val="auto"/>
              </w:rPr>
              <w:t>Total net</w:t>
            </w:r>
          </w:p>
        </w:tc>
        <w:tc>
          <w:tcPr>
            <w:tcW w:w="6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145,532</w:t>
            </w:r>
          </w:p>
        </w:tc>
        <w:tc>
          <w:tcPr>
            <w:tcW w:w="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152,133</w:t>
            </w:r>
          </w:p>
        </w:tc>
        <w:tc>
          <w:tcPr>
            <w:tcW w:w="60" w:type="dxa"/>
            <w:vAlign w:val="bottom"/>
          </w:tcPr>
          <w:p>
            <w:pPr>
              <w:spacing w:after="0"/>
              <w:rPr>
                <w:sz w:val="8"/>
                <w:szCs w:val="8"/>
                <w:color w:val="auto"/>
              </w:rPr>
            </w:pPr>
          </w:p>
        </w:tc>
        <w:tc>
          <w:tcPr>
            <w:tcW w:w="6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(6,601)</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center"/>
              <w:ind w:left="120"/>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8"/>
                <w:szCs w:val="8"/>
                <w:color w:val="auto"/>
              </w:rPr>
            </w:pPr>
          </w:p>
        </w:tc>
        <w:tc>
          <w:tcPr>
            <w:tcW w:w="6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412,541</w:t>
            </w:r>
          </w:p>
        </w:tc>
        <w:tc>
          <w:tcPr>
            <w:tcW w:w="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368,607</w:t>
            </w:r>
          </w:p>
        </w:tc>
        <w:tc>
          <w:tcPr>
            <w:tcW w:w="60" w:type="dxa"/>
            <w:vAlign w:val="bottom"/>
          </w:tcPr>
          <w:p>
            <w:pPr>
              <w:spacing w:after="0"/>
              <w:rPr>
                <w:sz w:val="8"/>
                <w:szCs w:val="8"/>
                <w:color w:val="auto"/>
              </w:rPr>
            </w:pPr>
          </w:p>
        </w:tc>
        <w:tc>
          <w:tcPr>
            <w:tcW w:w="6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43,934</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center"/>
              <w:ind w:left="120"/>
              <w:spacing w:after="0"/>
              <w:rPr>
                <w:sz w:val="20"/>
                <w:szCs w:val="20"/>
                <w:color w:val="auto"/>
              </w:rPr>
            </w:pPr>
            <w:r>
              <w:rPr>
                <w:rFonts w:ascii="Arial" w:cs="Arial" w:eastAsia="Arial" w:hAnsi="Arial"/>
                <w:sz w:val="12"/>
                <w:szCs w:val="12"/>
                <w:color w:val="auto"/>
                <w:w w:val="91"/>
              </w:rPr>
              <w:t>12%</w:t>
            </w:r>
          </w:p>
        </w:tc>
        <w:tc>
          <w:tcPr>
            <w:tcW w:w="0" w:type="dxa"/>
            <w:vAlign w:val="bottom"/>
          </w:tcPr>
          <w:p>
            <w:pPr>
              <w:spacing w:after="0"/>
              <w:rPr>
                <w:sz w:val="1"/>
                <w:szCs w:val="1"/>
                <w:color w:val="auto"/>
              </w:rPr>
            </w:pPr>
          </w:p>
        </w:tc>
      </w:tr>
      <w:tr>
        <w:trPr>
          <w:trHeight w:val="155"/>
        </w:trPr>
        <w:tc>
          <w:tcPr>
            <w:tcW w:w="1140" w:type="dxa"/>
            <w:vAlign w:val="bottom"/>
            <w:gridSpan w:val="2"/>
          </w:tcPr>
          <w:p>
            <w:pPr>
              <w:spacing w:after="0"/>
              <w:rPr>
                <w:sz w:val="20"/>
                <w:szCs w:val="20"/>
                <w:color w:val="auto"/>
              </w:rPr>
            </w:pPr>
            <w:r>
              <w:rPr>
                <w:rFonts w:ascii="Arial" w:cs="Arial" w:eastAsia="Arial" w:hAnsi="Arial"/>
                <w:sz w:val="12"/>
                <w:szCs w:val="12"/>
                <w:color w:val="auto"/>
              </w:rPr>
              <w:t>product sales</w:t>
            </w:r>
          </w:p>
        </w:tc>
        <w:tc>
          <w:tcPr>
            <w:tcW w:w="6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84"/>
              </w:rPr>
              <w:t>revenues</w:t>
            </w:r>
          </w:p>
        </w:tc>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Royalty</w:t>
            </w:r>
          </w:p>
        </w:tc>
        <w:tc>
          <w:tcPr>
            <w:tcW w:w="6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2,932</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3,002</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center"/>
              <w:ind w:left="12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8,184</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8,233</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center"/>
              <w:ind w:lef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44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 w:type="dxa"/>
            <w:vAlign w:val="bottom"/>
            <w:vMerge w:val="restart"/>
          </w:tcPr>
          <w:p>
            <w:pPr>
              <w:spacing w:after="0"/>
              <w:rPr>
                <w:sz w:val="20"/>
                <w:szCs w:val="20"/>
                <w:color w:val="auto"/>
              </w:rPr>
            </w:pPr>
            <w:r>
              <w:rPr>
                <w:rFonts w:ascii="Arial" w:cs="Arial" w:eastAsia="Arial" w:hAnsi="Arial"/>
                <w:sz w:val="12"/>
                <w:szCs w:val="12"/>
                <w:color w:val="auto"/>
                <w:w w:val="84"/>
              </w:rPr>
              <w:t>revenues</w:t>
            </w:r>
          </w:p>
        </w:tc>
        <w:tc>
          <w:tcPr>
            <w:tcW w:w="700" w:type="dxa"/>
            <w:vAlign w:val="bottom"/>
          </w:tcPr>
          <w:p>
            <w:pPr>
              <w:spacing w:after="0" w:line="135" w:lineRule="exact"/>
              <w:rPr>
                <w:sz w:val="20"/>
                <w:szCs w:val="20"/>
                <w:color w:val="auto"/>
              </w:rPr>
            </w:pPr>
            <w:r>
              <w:rPr>
                <w:rFonts w:ascii="Arial" w:cs="Arial" w:eastAsia="Arial" w:hAnsi="Arial"/>
                <w:sz w:val="12"/>
                <w:szCs w:val="12"/>
                <w:color w:val="auto"/>
              </w:rPr>
              <w:t>Total</w:t>
            </w:r>
          </w:p>
        </w:tc>
        <w:tc>
          <w:tcPr>
            <w:tcW w:w="68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148,464</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vMerge w:val="restart"/>
          </w:tcPr>
          <w:p>
            <w:pPr>
              <w:jc w:val="right"/>
              <w:ind w:right="139"/>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155,135</w:t>
            </w:r>
          </w:p>
        </w:tc>
        <w:tc>
          <w:tcPr>
            <w:tcW w:w="60" w:type="dxa"/>
            <w:vAlign w:val="bottom"/>
          </w:tcPr>
          <w:p>
            <w:pPr>
              <w:spacing w:after="0"/>
              <w:rPr>
                <w:sz w:val="11"/>
                <w:szCs w:val="11"/>
                <w:color w:val="auto"/>
              </w:rPr>
            </w:pPr>
          </w:p>
        </w:tc>
        <w:tc>
          <w:tcPr>
            <w:tcW w:w="60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(6,671)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restart"/>
          </w:tcPr>
          <w:p>
            <w:pPr>
              <w:jc w:val="center"/>
              <w:ind w:left="120"/>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11"/>
                <w:szCs w:val="11"/>
                <w:color w:val="auto"/>
              </w:rPr>
            </w:pPr>
          </w:p>
        </w:tc>
        <w:tc>
          <w:tcPr>
            <w:tcW w:w="66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420,725</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376,840</w:t>
            </w:r>
          </w:p>
        </w:tc>
        <w:tc>
          <w:tcPr>
            <w:tcW w:w="60" w:type="dxa"/>
            <w:vAlign w:val="bottom"/>
          </w:tcPr>
          <w:p>
            <w:pPr>
              <w:spacing w:after="0"/>
              <w:rPr>
                <w:sz w:val="11"/>
                <w:szCs w:val="11"/>
                <w:color w:val="auto"/>
              </w:rPr>
            </w:pPr>
          </w:p>
        </w:tc>
        <w:tc>
          <w:tcPr>
            <w:tcW w:w="60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43,885</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restart"/>
          </w:tcPr>
          <w:p>
            <w:pPr>
              <w:jc w:val="center"/>
              <w:ind w:left="120"/>
              <w:spacing w:after="0"/>
              <w:rPr>
                <w:sz w:val="20"/>
                <w:szCs w:val="20"/>
                <w:color w:val="auto"/>
              </w:rPr>
            </w:pPr>
            <w:r>
              <w:rPr>
                <w:rFonts w:ascii="Arial" w:cs="Arial" w:eastAsia="Arial" w:hAnsi="Arial"/>
                <w:sz w:val="12"/>
                <w:szCs w:val="12"/>
                <w:color w:val="auto"/>
                <w:w w:val="91"/>
              </w:rPr>
              <w:t>12%</w:t>
            </w:r>
          </w:p>
        </w:tc>
        <w:tc>
          <w:tcPr>
            <w:tcW w:w="0" w:type="dxa"/>
            <w:vAlign w:val="bottom"/>
          </w:tcPr>
          <w:p>
            <w:pPr>
              <w:spacing w:after="0"/>
              <w:rPr>
                <w:sz w:val="1"/>
                <w:szCs w:val="1"/>
                <w:color w:val="auto"/>
              </w:rPr>
            </w:pPr>
          </w:p>
        </w:tc>
      </w:tr>
      <w:tr>
        <w:trPr>
          <w:trHeight w:val="101"/>
        </w:trPr>
        <w:tc>
          <w:tcPr>
            <w:tcW w:w="4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w:t>
      </w:r>
    </w:p>
    <w:p>
      <w:pPr>
        <w:spacing w:after="0" w:line="14" w:lineRule="exact"/>
        <w:rPr>
          <w:sz w:val="20"/>
          <w:szCs w:val="20"/>
          <w:color w:val="auto"/>
        </w:rPr>
      </w:pPr>
    </w:p>
    <w:p>
      <w:pPr>
        <w:ind w:left="127" w:hanging="127"/>
        <w:spacing w:after="0"/>
        <w:tabs>
          <w:tab w:leader="none" w:pos="127" w:val="left"/>
        </w:tabs>
        <w:numPr>
          <w:ilvl w:val="0"/>
          <w:numId w:val="34"/>
        </w:numPr>
        <w:rPr>
          <w:rFonts w:ascii="Arial" w:cs="Arial" w:eastAsia="Arial" w:hAnsi="Arial"/>
          <w:sz w:val="15"/>
          <w:szCs w:val="15"/>
          <w:color w:val="auto"/>
          <w:vertAlign w:val="superscript"/>
        </w:rPr>
      </w:pPr>
      <w:r>
        <w:rPr>
          <w:rFonts w:ascii="Arial" w:cs="Arial" w:eastAsia="Arial" w:hAnsi="Arial"/>
          <w:sz w:val="10"/>
          <w:szCs w:val="10"/>
          <w:color w:val="auto"/>
        </w:rPr>
        <w:t>In April 2021, we notified the European Medicines Agency that we will cease the marketing of rimabotulinumtoxinB in European countries where it has been marketed as NeuroBloc.</w:t>
      </w:r>
    </w:p>
    <w:p>
      <w:pPr>
        <w:spacing w:after="0" w:line="106" w:lineRule="exact"/>
        <w:rPr>
          <w:sz w:val="20"/>
          <w:szCs w:val="20"/>
          <w:color w:val="auto"/>
        </w:rPr>
      </w:pPr>
    </w:p>
    <w:p>
      <w:pPr>
        <w:ind w:left="7" w:right="160" w:firstLine="439"/>
        <w:spacing w:after="0" w:line="331" w:lineRule="auto"/>
        <w:rPr>
          <w:sz w:val="20"/>
          <w:szCs w:val="20"/>
          <w:color w:val="auto"/>
        </w:rPr>
      </w:pPr>
      <w:r>
        <w:rPr>
          <w:rFonts w:ascii="Arial" w:cs="Arial" w:eastAsia="Arial" w:hAnsi="Arial"/>
          <w:sz w:val="11"/>
          <w:szCs w:val="11"/>
          <w:color w:val="auto"/>
        </w:rPr>
        <w:t>The $6.6 million and 4% decrease in net product sales for the three months ended September 30, 2021, as compared to the same period in 2020, was primarily due to a $9.9 million and $2.0 million decrease in net product sales of APOKYN and Trokendi XR, respectively. Offsetting these decreases were increases primarily from net product sales of Oxtellar XR and Qelbree, which was launched in second quarter of 2021.</w:t>
      </w:r>
    </w:p>
    <w:p>
      <w:pPr>
        <w:spacing w:after="0" w:line="72" w:lineRule="exact"/>
        <w:rPr>
          <w:sz w:val="20"/>
          <w:szCs w:val="20"/>
          <w:color w:val="auto"/>
        </w:rPr>
      </w:pPr>
    </w:p>
    <w:p>
      <w:pPr>
        <w:ind w:left="7" w:right="240" w:firstLine="439"/>
        <w:spacing w:after="0" w:line="269" w:lineRule="auto"/>
        <w:rPr>
          <w:sz w:val="20"/>
          <w:szCs w:val="20"/>
          <w:color w:val="auto"/>
        </w:rPr>
      </w:pPr>
      <w:r>
        <w:rPr>
          <w:rFonts w:ascii="Arial" w:cs="Arial" w:eastAsia="Arial" w:hAnsi="Arial"/>
          <w:sz w:val="12"/>
          <w:szCs w:val="12"/>
          <w:color w:val="auto"/>
        </w:rPr>
        <w:t>The $43.9 million and 12% increase in net product sales for the nine months ended September 30, 2021, as compared to the same period in 2020, was primarily due to a $44.7 million increase in net product sales of the acquired commercial products, $6.1 million increase in net product sales of Oxtellar XR and net product sales from the recently launched Qelbree. Partially offsetting this increase was $9.6 million decrease in net product sales of Trokendi XR for the nine months ended September 30, 2021, as compared to the same period in 2020.</w:t>
      </w:r>
    </w:p>
    <w:p>
      <w:pPr>
        <w:spacing w:after="0" w:line="94" w:lineRule="exact"/>
        <w:rPr>
          <w:sz w:val="20"/>
          <w:szCs w:val="20"/>
          <w:color w:val="auto"/>
        </w:rPr>
      </w:pPr>
    </w:p>
    <w:p>
      <w:pPr>
        <w:jc w:val="both"/>
        <w:ind w:left="7" w:right="160" w:firstLine="439"/>
        <w:spacing w:after="0" w:line="269" w:lineRule="auto"/>
        <w:rPr>
          <w:sz w:val="20"/>
          <w:szCs w:val="20"/>
          <w:color w:val="auto"/>
        </w:rPr>
      </w:pPr>
      <w:r>
        <w:rPr>
          <w:rFonts w:ascii="Arial" w:cs="Arial" w:eastAsia="Arial" w:hAnsi="Arial"/>
          <w:sz w:val="12"/>
          <w:szCs w:val="12"/>
          <w:color w:val="auto"/>
        </w:rPr>
        <w:t>Trokendi XR net product sales decreased by 2% to $80.9 million for the three months ended September 30, 2021 as compared to the same period in 2020. Trokendi XR net product sales decreased by 4% to $231.5 million for the nine months ended September 30, 2021 as compared to the same period in 2020. This decrease was attributable to a decline in unit demand partially offset by the favorable impact of the price increase taken in January 2021 and favorable improvements in sales deductions.</w:t>
      </w:r>
    </w:p>
    <w:p>
      <w:pPr>
        <w:spacing w:after="0" w:line="94" w:lineRule="exact"/>
        <w:rPr>
          <w:sz w:val="20"/>
          <w:szCs w:val="20"/>
          <w:color w:val="auto"/>
        </w:rPr>
      </w:pPr>
    </w:p>
    <w:p>
      <w:pPr>
        <w:jc w:val="both"/>
        <w:ind w:left="7" w:right="180" w:firstLine="439"/>
        <w:spacing w:after="0" w:line="331" w:lineRule="auto"/>
        <w:rPr>
          <w:sz w:val="20"/>
          <w:szCs w:val="20"/>
          <w:color w:val="auto"/>
        </w:rPr>
      </w:pPr>
      <w:r>
        <w:rPr>
          <w:rFonts w:ascii="Arial" w:cs="Arial" w:eastAsia="Arial" w:hAnsi="Arial"/>
          <w:sz w:val="11"/>
          <w:szCs w:val="11"/>
          <w:color w:val="auto"/>
        </w:rPr>
        <w:t>Oxtellar XR net product sales increased by 5% to $29.7 million for the three months ended September 30, 2021 as compared to the same period in 2020. Oxtellar XR net product sales increased by 8% to $82.1 million for the nine months ended September 30, 2021 as compared to the same period in 2020. This increase was primarily attributable to the favorable impact of both unit demand and a price increase in January 2021.</w:t>
      </w:r>
    </w:p>
    <w:p>
      <w:pPr>
        <w:spacing w:after="0" w:line="347" w:lineRule="exact"/>
        <w:rPr>
          <w:sz w:val="20"/>
          <w:szCs w:val="20"/>
          <w:color w:val="auto"/>
        </w:rPr>
      </w:pPr>
    </w:p>
    <w:p>
      <w:pPr>
        <w:jc w:val="center"/>
        <w:ind w:right="53"/>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67"/>
          </w:cols>
          <w:pgMar w:left="293" w:top="131" w:right="239" w:bottom="1440" w:gutter="0" w:footer="0" w:header="0"/>
        </w:sectPr>
      </w:pPr>
    </w:p>
    <w:bookmarkStart w:id="31" w:name="page32"/>
    <w:bookmarkEnd w:id="3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120" w:firstLine="439"/>
        <w:spacing w:after="0" w:line="264" w:lineRule="auto"/>
        <w:rPr>
          <w:sz w:val="20"/>
          <w:szCs w:val="20"/>
          <w:color w:val="auto"/>
        </w:rPr>
      </w:pPr>
      <w:r>
        <w:rPr>
          <w:rFonts w:ascii="Arial" w:cs="Arial" w:eastAsia="Arial" w:hAnsi="Arial"/>
          <w:sz w:val="12"/>
          <w:szCs w:val="12"/>
          <w:color w:val="auto"/>
        </w:rPr>
        <w:t>Net product sales of the acquired commercial products decreased to $32.5 million from $40.9 million for the three months ended September 30, 2021 as compared to the same period in 2020. The decrease was primarily due to a decrease in net product sales of APOKYN. APOKYN net product sales decreased by 29% to $24.6 million for the three months ended September 30, 2021 as compared to the same period in 2020. This decrease was due partially to higher level of channel inventory as well as increased market competition. Net product sales of the acquired commercial products increased to $96.2 million from $51.5 million for the nine months ended September 30, 2021. The increase for the nine month period was due primarily to the timing of the USWM Acquisition, which was completed on June 9, 2020.</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Sales Deductions and Related Accruals</w:t>
      </w:r>
    </w:p>
    <w:p>
      <w:pPr>
        <w:spacing w:after="0" w:line="127" w:lineRule="exact"/>
        <w:rPr>
          <w:sz w:val="20"/>
          <w:szCs w:val="20"/>
          <w:color w:val="auto"/>
        </w:rPr>
      </w:pPr>
    </w:p>
    <w:p>
      <w:pPr>
        <w:ind w:right="140" w:firstLine="439"/>
        <w:spacing w:after="0" w:line="269" w:lineRule="auto"/>
        <w:rPr>
          <w:sz w:val="20"/>
          <w:szCs w:val="20"/>
          <w:color w:val="auto"/>
        </w:rPr>
      </w:pPr>
      <w:r>
        <w:rPr>
          <w:rFonts w:ascii="Arial" w:cs="Arial" w:eastAsia="Arial" w:hAnsi="Arial"/>
          <w:sz w:val="12"/>
          <w:szCs w:val="12"/>
          <w:color w:val="auto"/>
        </w:rPr>
        <w:t xml:space="preserve">We record accrued product rebates and accrued product returns as current liabilities in </w:t>
      </w:r>
      <w:r>
        <w:rPr>
          <w:rFonts w:ascii="Arial" w:cs="Arial" w:eastAsia="Arial" w:hAnsi="Arial"/>
          <w:sz w:val="12"/>
          <w:szCs w:val="12"/>
          <w:i w:val="1"/>
          <w:iCs w:val="1"/>
          <w:color w:val="auto"/>
        </w:rPr>
        <w:t>Accrued product returns and rebates,</w:t>
      </w:r>
      <w:r>
        <w:rPr>
          <w:rFonts w:ascii="Arial" w:cs="Arial" w:eastAsia="Arial" w:hAnsi="Arial"/>
          <w:sz w:val="12"/>
          <w:szCs w:val="12"/>
          <w:color w:val="auto"/>
        </w:rPr>
        <w:t xml:space="preserve"> on our condensed consolidated balance sheets. We record sales discounts as a reduction against </w:t>
      </w:r>
      <w:r>
        <w:rPr>
          <w:rFonts w:ascii="Arial" w:cs="Arial" w:eastAsia="Arial" w:hAnsi="Arial"/>
          <w:sz w:val="12"/>
          <w:szCs w:val="12"/>
          <w:i w:val="1"/>
          <w:iCs w:val="1"/>
          <w:color w:val="auto"/>
        </w:rPr>
        <w:t xml:space="preserve">Accounts receivable </w:t>
      </w:r>
      <w:r>
        <w:rPr>
          <w:rFonts w:ascii="Arial" w:cs="Arial" w:eastAsia="Arial" w:hAnsi="Arial"/>
          <w:sz w:val="12"/>
          <w:szCs w:val="12"/>
          <w:color w:val="auto"/>
        </w:rPr>
        <w:t>on the condensed consolidated balance sheets. Both amounts are generally affected by changes in gross product sales, changes in the provision for net product sales deductions, and the timing of</w:t>
      </w:r>
      <w:r>
        <w:rPr>
          <w:rFonts w:ascii="Arial" w:cs="Arial" w:eastAsia="Arial" w:hAnsi="Arial"/>
          <w:sz w:val="12"/>
          <w:szCs w:val="12"/>
          <w:i w:val="1"/>
          <w:iCs w:val="1"/>
          <w:color w:val="auto"/>
        </w:rPr>
        <w:t xml:space="preserve"> </w:t>
      </w:r>
      <w:r>
        <w:rPr>
          <w:rFonts w:ascii="Arial" w:cs="Arial" w:eastAsia="Arial" w:hAnsi="Arial"/>
          <w:sz w:val="12"/>
          <w:szCs w:val="12"/>
          <w:color w:val="auto"/>
        </w:rPr>
        <w:t>payments/credits.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provides a summary of activity with respect to sales deductions and related accruals during the periods indicated (dollars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4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0"/>
                <w:szCs w:val="10"/>
                <w:b w:val="1"/>
                <w:bCs w:val="1"/>
                <w:color w:val="auto"/>
              </w:rPr>
              <w:t>Accrued Product Returns and Rebates</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Product</w:t>
            </w:r>
          </w:p>
        </w:tc>
        <w:tc>
          <w:tcPr>
            <w:tcW w:w="580" w:type="dxa"/>
            <w:vAlign w:val="bottom"/>
          </w:tcPr>
          <w:p>
            <w:pPr>
              <w:spacing w:after="0"/>
              <w:rPr>
                <w:sz w:val="6"/>
                <w:szCs w:val="6"/>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Product</w:t>
            </w:r>
          </w:p>
        </w:tc>
        <w:tc>
          <w:tcPr>
            <w:tcW w:w="520" w:type="dxa"/>
            <w:vAlign w:val="bottom"/>
          </w:tcPr>
          <w:p>
            <w:pPr>
              <w:spacing w:after="0"/>
              <w:rPr>
                <w:sz w:val="6"/>
                <w:szCs w:val="6"/>
                <w:color w:val="auto"/>
              </w:rPr>
            </w:pPr>
          </w:p>
        </w:tc>
        <w:tc>
          <w:tcPr>
            <w:tcW w:w="1200" w:type="dxa"/>
            <w:vAlign w:val="bottom"/>
            <w:gridSpan w:val="2"/>
          </w:tcPr>
          <w:p>
            <w:pPr>
              <w:ind w:left="40"/>
              <w:spacing w:after="0" w:line="80" w:lineRule="exact"/>
              <w:rPr>
                <w:sz w:val="20"/>
                <w:szCs w:val="20"/>
                <w:color w:val="auto"/>
              </w:rPr>
            </w:pPr>
            <w:r>
              <w:rPr>
                <w:rFonts w:ascii="Arial" w:cs="Arial" w:eastAsia="Arial" w:hAnsi="Arial"/>
                <w:sz w:val="9"/>
                <w:szCs w:val="9"/>
                <w:b w:val="1"/>
                <w:bCs w:val="1"/>
                <w:color w:val="auto"/>
              </w:rPr>
              <w:t>Reduction to Accounts</w:t>
            </w: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gridSpan w:val="2"/>
          </w:tcPr>
          <w:p>
            <w:pPr>
              <w:jc w:val="center"/>
              <w:ind w:right="600"/>
              <w:spacing w:after="0" w:line="92" w:lineRule="exact"/>
              <w:rPr>
                <w:sz w:val="20"/>
                <w:szCs w:val="20"/>
                <w:color w:val="auto"/>
              </w:rPr>
            </w:pPr>
            <w:r>
              <w:rPr>
                <w:rFonts w:ascii="Arial" w:cs="Arial" w:eastAsia="Arial" w:hAnsi="Arial"/>
                <w:sz w:val="10"/>
                <w:szCs w:val="10"/>
                <w:b w:val="1"/>
                <w:bCs w:val="1"/>
                <w:color w:val="auto"/>
                <w:w w:val="87"/>
              </w:rPr>
              <w:t>Receivable for</w:t>
            </w:r>
          </w:p>
        </w:tc>
        <w:tc>
          <w:tcPr>
            <w:tcW w:w="720" w:type="dxa"/>
            <w:vAlign w:val="bottom"/>
          </w:tcPr>
          <w:p>
            <w:pPr>
              <w:spacing w:after="0"/>
              <w:rPr>
                <w:sz w:val="7"/>
                <w:szCs w:val="7"/>
                <w:color w:val="auto"/>
              </w:rPr>
            </w:pPr>
          </w:p>
        </w:tc>
        <w:tc>
          <w:tcPr>
            <w:tcW w:w="940" w:type="dxa"/>
            <w:vAlign w:val="bottom"/>
            <w:vMerge w:val="restart"/>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7"/>
        </w:trPr>
        <w:tc>
          <w:tcPr>
            <w:tcW w:w="4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80"/>
              <w:spacing w:after="0"/>
              <w:rPr>
                <w:sz w:val="20"/>
                <w:szCs w:val="20"/>
                <w:color w:val="auto"/>
              </w:rPr>
            </w:pPr>
            <w:r>
              <w:rPr>
                <w:rFonts w:ascii="Arial" w:cs="Arial" w:eastAsia="Arial" w:hAnsi="Arial"/>
                <w:sz w:val="10"/>
                <w:szCs w:val="10"/>
                <w:b w:val="1"/>
                <w:bCs w:val="1"/>
                <w:color w:val="auto"/>
              </w:rPr>
              <w:t>Rebates</w:t>
            </w:r>
          </w:p>
        </w:tc>
        <w:tc>
          <w:tcPr>
            <w:tcW w:w="580" w:type="dxa"/>
            <w:vAlign w:val="bottom"/>
          </w:tcPr>
          <w:p>
            <w:pPr>
              <w:spacing w:after="0"/>
              <w:rPr>
                <w:sz w:val="11"/>
                <w:szCs w:val="11"/>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Returns</w:t>
            </w:r>
          </w:p>
        </w:tc>
        <w:tc>
          <w:tcPr>
            <w:tcW w:w="17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2"/>
              </w:rPr>
              <w:t>Sales Discounts</w:t>
            </w:r>
          </w:p>
        </w:tc>
        <w:tc>
          <w:tcPr>
            <w:tcW w:w="7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60" w:type="dxa"/>
            <w:vAlign w:val="bottom"/>
            <w:tcBorders>
              <w:top w:val="single" w:sz="8" w:color="CCEEFF"/>
            </w:tcBorders>
            <w:shd w:val="clear" w:color="auto" w:fill="CCEEFF"/>
          </w:tcPr>
          <w:p>
            <w:pPr>
              <w:ind w:left="440"/>
              <w:spacing w:after="0" w:line="137" w:lineRule="exact"/>
              <w:rPr>
                <w:sz w:val="20"/>
                <w:szCs w:val="20"/>
                <w:color w:val="auto"/>
              </w:rPr>
            </w:pPr>
            <w:r>
              <w:rPr>
                <w:rFonts w:ascii="Arial" w:cs="Arial" w:eastAsia="Arial" w:hAnsi="Arial"/>
                <w:sz w:val="12"/>
                <w:szCs w:val="12"/>
                <w:color w:val="auto"/>
              </w:rPr>
              <w:t>Balance at December 31, 2020</w:t>
            </w:r>
          </w:p>
        </w:tc>
        <w:tc>
          <w:tcPr>
            <w:tcW w:w="6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96,589</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29,603</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11,404</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137,596</w:t>
            </w:r>
          </w:p>
        </w:tc>
        <w:tc>
          <w:tcPr>
            <w:tcW w:w="0" w:type="dxa"/>
            <w:vAlign w:val="bottom"/>
          </w:tcPr>
          <w:p>
            <w:pPr>
              <w:spacing w:after="0"/>
              <w:rPr>
                <w:sz w:val="1"/>
                <w:szCs w:val="1"/>
                <w:color w:val="auto"/>
              </w:rPr>
            </w:pPr>
          </w:p>
        </w:tc>
      </w:tr>
      <w:tr>
        <w:trPr>
          <w:trHeight w:val="155"/>
        </w:trPr>
        <w:tc>
          <w:tcPr>
            <w:tcW w:w="4460" w:type="dxa"/>
            <w:vAlign w:val="bottom"/>
          </w:tcPr>
          <w:p>
            <w:pPr>
              <w:ind w:left="440"/>
              <w:spacing w:after="0"/>
              <w:rPr>
                <w:sz w:val="20"/>
                <w:szCs w:val="20"/>
                <w:color w:val="auto"/>
              </w:rPr>
            </w:pPr>
            <w:r>
              <w:rPr>
                <w:rFonts w:ascii="Arial" w:cs="Arial" w:eastAsia="Arial" w:hAnsi="Arial"/>
                <w:sz w:val="12"/>
                <w:szCs w:val="12"/>
                <w:color w:val="auto"/>
              </w:rPr>
              <w:t>Provision</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Provision for current year sales</w:t>
            </w:r>
          </w:p>
        </w:tc>
        <w:tc>
          <w:tcPr>
            <w:tcW w:w="6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275,352</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9,945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51,472</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336,769</w:t>
            </w:r>
          </w:p>
        </w:tc>
        <w:tc>
          <w:tcPr>
            <w:tcW w:w="0" w:type="dxa"/>
            <w:vAlign w:val="bottom"/>
          </w:tcPr>
          <w:p>
            <w:pPr>
              <w:spacing w:after="0"/>
              <w:rPr>
                <w:sz w:val="1"/>
                <w:szCs w:val="1"/>
                <w:color w:val="auto"/>
              </w:rPr>
            </w:pPr>
          </w:p>
        </w:tc>
      </w:tr>
      <w:tr>
        <w:trPr>
          <w:trHeight w:val="155"/>
        </w:trPr>
        <w:tc>
          <w:tcPr>
            <w:tcW w:w="446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Adjustments relating to prior year sales</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1,334</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145"/>
        </w:trPr>
        <w:tc>
          <w:tcPr>
            <w:tcW w:w="446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Total provision</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276,686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8,420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51,491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336,597</w:t>
            </w:r>
          </w:p>
        </w:tc>
        <w:tc>
          <w:tcPr>
            <w:tcW w:w="0" w:type="dxa"/>
            <w:vAlign w:val="bottom"/>
          </w:tcPr>
          <w:p>
            <w:pPr>
              <w:spacing w:after="0"/>
              <w:rPr>
                <w:sz w:val="1"/>
                <w:szCs w:val="1"/>
                <w:color w:val="auto"/>
              </w:rPr>
            </w:pPr>
          </w:p>
        </w:tc>
      </w:tr>
      <w:tr>
        <w:trPr>
          <w:trHeight w:val="155"/>
        </w:trPr>
        <w:tc>
          <w:tcPr>
            <w:tcW w:w="44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Less: Actual payments/credits</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(274,639)</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(4,611)</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(51,677)</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(330,927)</w:t>
            </w:r>
          </w:p>
        </w:tc>
        <w:tc>
          <w:tcPr>
            <w:tcW w:w="0" w:type="dxa"/>
            <w:vAlign w:val="bottom"/>
          </w:tcPr>
          <w:p>
            <w:pPr>
              <w:spacing w:after="0"/>
              <w:rPr>
                <w:sz w:val="1"/>
                <w:szCs w:val="1"/>
                <w:color w:val="auto"/>
              </w:rPr>
            </w:pPr>
          </w:p>
        </w:tc>
      </w:tr>
      <w:tr>
        <w:trPr>
          <w:trHeight w:val="162"/>
        </w:trPr>
        <w:tc>
          <w:tcPr>
            <w:tcW w:w="4460" w:type="dxa"/>
            <w:vAlign w:val="bottom"/>
            <w:tcBorders>
              <w:bottom w:val="single" w:sz="8" w:color="CCEEFF"/>
            </w:tcBorders>
            <w:shd w:val="clear" w:color="auto" w:fill="CCEEFF"/>
          </w:tcPr>
          <w:p>
            <w:pPr>
              <w:ind w:left="440"/>
              <w:spacing w:after="0" w:line="136" w:lineRule="exact"/>
              <w:rPr>
                <w:sz w:val="20"/>
                <w:szCs w:val="20"/>
                <w:color w:val="auto"/>
              </w:rPr>
            </w:pPr>
            <w:r>
              <w:rPr>
                <w:rFonts w:ascii="Arial" w:cs="Arial" w:eastAsia="Arial" w:hAnsi="Arial"/>
                <w:sz w:val="12"/>
                <w:szCs w:val="12"/>
                <w:color w:val="auto"/>
              </w:rPr>
              <w:t>Balance at September 30, 2021</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98,636</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33,412</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11,218</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143,266</w:t>
            </w: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Balance at December 31, 2019</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88,811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18,818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11,013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118,642</w:t>
            </w:r>
          </w:p>
        </w:tc>
        <w:tc>
          <w:tcPr>
            <w:tcW w:w="0" w:type="dxa"/>
            <w:vAlign w:val="bottom"/>
          </w:tcPr>
          <w:p>
            <w:pPr>
              <w:spacing w:after="0"/>
              <w:rPr>
                <w:sz w:val="1"/>
                <w:szCs w:val="1"/>
                <w:color w:val="auto"/>
              </w:rPr>
            </w:pPr>
          </w:p>
        </w:tc>
      </w:tr>
      <w:tr>
        <w:trPr>
          <w:trHeight w:val="155"/>
        </w:trPr>
        <w:tc>
          <w:tcPr>
            <w:tcW w:w="4460" w:type="dxa"/>
            <w:vAlign w:val="bottom"/>
          </w:tcPr>
          <w:p>
            <w:pPr>
              <w:ind w:left="440"/>
              <w:spacing w:after="0"/>
              <w:rPr>
                <w:sz w:val="20"/>
                <w:szCs w:val="20"/>
                <w:color w:val="auto"/>
              </w:rPr>
            </w:pPr>
            <w:r>
              <w:rPr>
                <w:rFonts w:ascii="Arial" w:cs="Arial" w:eastAsia="Arial" w:hAnsi="Arial"/>
                <w:sz w:val="12"/>
                <w:szCs w:val="12"/>
                <w:color w:val="auto"/>
              </w:rPr>
              <w:t>USWM Acquisition liabilities assumed</w:t>
            </w:r>
          </w:p>
        </w:tc>
        <w:tc>
          <w:tcPr>
            <w:tcW w:w="6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5,112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3,072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293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8,477</w:t>
            </w:r>
          </w:p>
        </w:tc>
        <w:tc>
          <w:tcPr>
            <w:tcW w:w="0" w:type="dxa"/>
            <w:vAlign w:val="bottom"/>
          </w:tcPr>
          <w:p>
            <w:pPr>
              <w:spacing w:after="0"/>
              <w:rPr>
                <w:sz w:val="1"/>
                <w:szCs w:val="1"/>
                <w:color w:val="auto"/>
              </w:rPr>
            </w:pPr>
          </w:p>
        </w:tc>
      </w:tr>
      <w:tr>
        <w:trPr>
          <w:trHeight w:val="156"/>
        </w:trPr>
        <w:tc>
          <w:tcPr>
            <w:tcW w:w="44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Provision</w:t>
            </w:r>
          </w:p>
        </w:tc>
        <w:tc>
          <w:tcPr>
            <w:tcW w:w="6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60" w:type="dxa"/>
            <w:vAlign w:val="bottom"/>
          </w:tcPr>
          <w:p>
            <w:pPr>
              <w:ind w:left="520"/>
              <w:spacing w:after="0"/>
              <w:rPr>
                <w:sz w:val="20"/>
                <w:szCs w:val="20"/>
                <w:color w:val="auto"/>
              </w:rPr>
            </w:pPr>
            <w:r>
              <w:rPr>
                <w:rFonts w:ascii="Arial" w:cs="Arial" w:eastAsia="Arial" w:hAnsi="Arial"/>
                <w:sz w:val="12"/>
                <w:szCs w:val="12"/>
                <w:color w:val="auto"/>
              </w:rPr>
              <w:t>Provision for current year sales</w:t>
            </w:r>
          </w:p>
        </w:tc>
        <w:tc>
          <w:tcPr>
            <w:tcW w:w="6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254,338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8,709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49,987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313,034</w:t>
            </w:r>
          </w:p>
        </w:tc>
        <w:tc>
          <w:tcPr>
            <w:tcW w:w="0" w:type="dxa"/>
            <w:vAlign w:val="bottom"/>
          </w:tcPr>
          <w:p>
            <w:pPr>
              <w:spacing w:after="0"/>
              <w:rPr>
                <w:sz w:val="1"/>
                <w:szCs w:val="1"/>
                <w:color w:val="auto"/>
              </w:rPr>
            </w:pPr>
          </w:p>
        </w:tc>
      </w:tr>
      <w:tr>
        <w:trPr>
          <w:trHeight w:val="156"/>
        </w:trPr>
        <w:tc>
          <w:tcPr>
            <w:tcW w:w="44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Adjustments relating to prior year sales</w:t>
            </w:r>
          </w:p>
        </w:tc>
        <w:tc>
          <w:tcPr>
            <w:tcW w:w="6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3,633</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9,008</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147</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12,788</w:t>
            </w:r>
          </w:p>
        </w:tc>
        <w:tc>
          <w:tcPr>
            <w:tcW w:w="0" w:type="dxa"/>
            <w:vAlign w:val="bottom"/>
          </w:tcPr>
          <w:p>
            <w:pPr>
              <w:spacing w:after="0"/>
              <w:rPr>
                <w:sz w:val="1"/>
                <w:szCs w:val="1"/>
                <w:color w:val="auto"/>
              </w:rPr>
            </w:pPr>
          </w:p>
        </w:tc>
      </w:tr>
      <w:tr>
        <w:trPr>
          <w:trHeight w:val="144"/>
        </w:trPr>
        <w:tc>
          <w:tcPr>
            <w:tcW w:w="4460" w:type="dxa"/>
            <w:vAlign w:val="bottom"/>
          </w:tcPr>
          <w:p>
            <w:pPr>
              <w:ind w:left="440"/>
              <w:spacing w:after="0" w:line="135" w:lineRule="exact"/>
              <w:rPr>
                <w:sz w:val="20"/>
                <w:szCs w:val="20"/>
                <w:color w:val="auto"/>
              </w:rPr>
            </w:pPr>
            <w:r>
              <w:rPr>
                <w:rFonts w:ascii="Arial" w:cs="Arial" w:eastAsia="Arial" w:hAnsi="Arial"/>
                <w:sz w:val="12"/>
                <w:szCs w:val="12"/>
                <w:color w:val="auto"/>
              </w:rPr>
              <w:t>Total provision</w:t>
            </w: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257,971</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17,717</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50,134</w:t>
            </w:r>
          </w:p>
        </w:tc>
        <w:tc>
          <w:tcPr>
            <w:tcW w:w="80" w:type="dxa"/>
            <w:vAlign w:val="bottom"/>
          </w:tcPr>
          <w:p>
            <w:pPr>
              <w:spacing w:after="0"/>
              <w:rPr>
                <w:sz w:val="12"/>
                <w:szCs w:val="12"/>
                <w:color w:val="auto"/>
              </w:rPr>
            </w:pPr>
          </w:p>
        </w:tc>
        <w:tc>
          <w:tcPr>
            <w:tcW w:w="72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325,822</w:t>
            </w:r>
          </w:p>
        </w:tc>
        <w:tc>
          <w:tcPr>
            <w:tcW w:w="0" w:type="dxa"/>
            <w:vAlign w:val="bottom"/>
          </w:tcPr>
          <w:p>
            <w:pPr>
              <w:spacing w:after="0"/>
              <w:rPr>
                <w:sz w:val="1"/>
                <w:szCs w:val="1"/>
                <w:color w:val="auto"/>
              </w:rPr>
            </w:pPr>
          </w:p>
        </w:tc>
      </w:tr>
      <w:tr>
        <w:trPr>
          <w:trHeight w:val="156"/>
        </w:trPr>
        <w:tc>
          <w:tcPr>
            <w:tcW w:w="44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Less: Actual payments/credits</w:t>
            </w:r>
          </w:p>
        </w:tc>
        <w:tc>
          <w:tcPr>
            <w:tcW w:w="6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(241,351)</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(13,177)</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(50,342)</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(304,870)</w:t>
            </w:r>
          </w:p>
        </w:tc>
        <w:tc>
          <w:tcPr>
            <w:tcW w:w="0" w:type="dxa"/>
            <w:vAlign w:val="bottom"/>
          </w:tcPr>
          <w:p>
            <w:pPr>
              <w:spacing w:after="0"/>
              <w:rPr>
                <w:sz w:val="1"/>
                <w:szCs w:val="1"/>
                <w:color w:val="auto"/>
              </w:rPr>
            </w:pPr>
          </w:p>
        </w:tc>
      </w:tr>
      <w:tr>
        <w:trPr>
          <w:trHeight w:val="144"/>
        </w:trPr>
        <w:tc>
          <w:tcPr>
            <w:tcW w:w="4460" w:type="dxa"/>
            <w:vAlign w:val="bottom"/>
          </w:tcPr>
          <w:p>
            <w:pPr>
              <w:ind w:left="440"/>
              <w:spacing w:after="0" w:line="135" w:lineRule="exact"/>
              <w:rPr>
                <w:sz w:val="20"/>
                <w:szCs w:val="20"/>
                <w:color w:val="auto"/>
              </w:rPr>
            </w:pPr>
            <w:r>
              <w:rPr>
                <w:rFonts w:ascii="Arial" w:cs="Arial" w:eastAsia="Arial" w:hAnsi="Arial"/>
                <w:sz w:val="12"/>
                <w:szCs w:val="12"/>
                <w:color w:val="auto"/>
              </w:rPr>
              <w:t>Balance at September 30, 2020</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110,543</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26,430</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11,098</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148,071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Accrued Product Returns and Rebates Balances</w:t>
      </w:r>
    </w:p>
    <w:p>
      <w:pPr>
        <w:spacing w:after="0" w:line="137" w:lineRule="exact"/>
        <w:rPr>
          <w:sz w:val="20"/>
          <w:szCs w:val="20"/>
          <w:color w:val="auto"/>
        </w:rPr>
      </w:pPr>
    </w:p>
    <w:p>
      <w:pPr>
        <w:ind w:left="440" w:right="20"/>
        <w:spacing w:after="0" w:line="398" w:lineRule="auto"/>
        <w:rPr>
          <w:sz w:val="20"/>
          <w:szCs w:val="20"/>
          <w:color w:val="auto"/>
        </w:rPr>
      </w:pPr>
      <w:r>
        <w:rPr>
          <w:rFonts w:ascii="Arial" w:cs="Arial" w:eastAsia="Arial" w:hAnsi="Arial"/>
          <w:sz w:val="11"/>
          <w:szCs w:val="11"/>
          <w:color w:val="auto"/>
        </w:rPr>
        <w:t>The accrued product rebates balance decreased from $110.5 million as of September 30, 2020 to $98.6 million as of September 30, 2021 due to the timing of payments which more than offsets the increase in the provision. The accrued product returns balance increased from $26.4 million as of September 30, 2020 to $33.4 million as of September 30, 2021 due to timing of related return activity offset by a decrease in the provision for product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returns.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Provisions for Returns and Rebates</w:t>
      </w:r>
    </w:p>
    <w:p>
      <w:pPr>
        <w:spacing w:after="0" w:line="137" w:lineRule="exact"/>
        <w:rPr>
          <w:sz w:val="20"/>
          <w:szCs w:val="20"/>
          <w:color w:val="auto"/>
        </w:rPr>
      </w:pPr>
    </w:p>
    <w:p>
      <w:pPr>
        <w:ind w:right="80" w:firstLine="439"/>
        <w:spacing w:after="0" w:line="283" w:lineRule="auto"/>
        <w:rPr>
          <w:sz w:val="20"/>
          <w:szCs w:val="20"/>
          <w:color w:val="auto"/>
        </w:rPr>
      </w:pPr>
      <w:r>
        <w:rPr>
          <w:rFonts w:ascii="Arial" w:cs="Arial" w:eastAsia="Arial" w:hAnsi="Arial"/>
          <w:sz w:val="12"/>
          <w:szCs w:val="12"/>
          <w:color w:val="auto"/>
        </w:rPr>
        <w:t>The provision for product rebates increased to $276.7 million for the nine months ended September 30, 2021 compared to $258.0 million for the same period in prior year. This increase was primarily attributable to greater utilization of our patient co-payment programs, as well as higher per patient payments under both Medicaid and commercial managed care programs.</w:t>
      </w:r>
    </w:p>
    <w:p>
      <w:pPr>
        <w:spacing w:after="0" w:line="86" w:lineRule="exact"/>
        <w:rPr>
          <w:sz w:val="20"/>
          <w:szCs w:val="20"/>
          <w:color w:val="auto"/>
        </w:rPr>
      </w:pPr>
    </w:p>
    <w:p>
      <w:pPr>
        <w:ind w:right="60" w:firstLine="439"/>
        <w:spacing w:after="0" w:line="283" w:lineRule="auto"/>
        <w:rPr>
          <w:sz w:val="20"/>
          <w:szCs w:val="20"/>
          <w:color w:val="auto"/>
        </w:rPr>
      </w:pPr>
      <w:r>
        <w:rPr>
          <w:rFonts w:ascii="Arial" w:cs="Arial" w:eastAsia="Arial" w:hAnsi="Arial"/>
          <w:sz w:val="12"/>
          <w:szCs w:val="12"/>
          <w:color w:val="auto"/>
        </w:rPr>
        <w:t>The provision for product returns of $8.4 million for the nine months ended September 30, 2021 was lower compared to $17.7 million for the nine months ended September 30, 2020. This decrease was primarily due to the unfavorable actual returns experienced in the first quarter of 2020 for discontinued Trokendi XR commercial blister pack configurations, for which all production and distribution ceased in 2017.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Royalty Revenues</w:t>
      </w:r>
    </w:p>
    <w:p>
      <w:pPr>
        <w:spacing w:after="0" w:line="137" w:lineRule="exact"/>
        <w:rPr>
          <w:sz w:val="20"/>
          <w:szCs w:val="20"/>
          <w:color w:val="auto"/>
        </w:rPr>
      </w:pPr>
    </w:p>
    <w:p>
      <w:pPr>
        <w:ind w:right="200" w:firstLine="439"/>
        <w:spacing w:after="0" w:line="283" w:lineRule="auto"/>
        <w:rPr>
          <w:sz w:val="20"/>
          <w:szCs w:val="20"/>
          <w:color w:val="auto"/>
        </w:rPr>
      </w:pPr>
      <w:r>
        <w:rPr>
          <w:rFonts w:ascii="Arial" w:cs="Arial" w:eastAsia="Arial" w:hAnsi="Arial"/>
          <w:sz w:val="12"/>
          <w:szCs w:val="12"/>
          <w:color w:val="auto"/>
        </w:rPr>
        <w:t>Royalty revenues were $2.9 million and $3.0 million for the three months ended September 30, 2021 and 2020, respectively. Royalty revenues were $8.2 million for both the nine months ended September 30, 2021 and 2020, respectively.</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1"/>
          <w:szCs w:val="11"/>
          <w:color w:val="auto"/>
        </w:rPr>
        <w:t>Royalty revenues include a royalty from net product sales of Mydayis, a product of Takeda Pharmaceuticals Company Ltd., and noncash royalty revenue pursuant to our agreement with Healthcare Royalty Partners III, L.P.</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(HC Royalty). HC Royalty receives royalty payments from United Therapeutics Corporation (United Therapeutics) based on net product sales of United Therapeutics’ product Orenitram.</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Cost of Goods Sold</w:t>
      </w:r>
    </w:p>
    <w:p>
      <w:pPr>
        <w:spacing w:after="0" w:line="137" w:lineRule="exact"/>
        <w:rPr>
          <w:sz w:val="20"/>
          <w:szCs w:val="20"/>
          <w:color w:val="auto"/>
        </w:rPr>
      </w:pPr>
    </w:p>
    <w:p>
      <w:pPr>
        <w:ind w:right="20" w:firstLine="439"/>
        <w:spacing w:after="0" w:line="283" w:lineRule="auto"/>
        <w:rPr>
          <w:sz w:val="20"/>
          <w:szCs w:val="20"/>
          <w:color w:val="auto"/>
        </w:rPr>
      </w:pPr>
      <w:r>
        <w:rPr>
          <w:rFonts w:ascii="Arial" w:cs="Arial" w:eastAsia="Arial" w:hAnsi="Arial"/>
          <w:sz w:val="12"/>
          <w:szCs w:val="12"/>
          <w:color w:val="auto"/>
        </w:rPr>
        <w:t>Cost of goods sold was $18.1 million and $21.4 million for the three months ended September 30, 2021 and 2020, respectively. Cost of goods sold was $58.1 million and $33.9 million for the nine months ended September 30, 2021 and 2020, respectively. Royalty payments associated with the acquired commercial products, APOKYN and XADAGO, made up the majority of the cost of goods sold.</w:t>
      </w:r>
    </w:p>
    <w:p>
      <w:pPr>
        <w:spacing w:after="0" w:line="86" w:lineRule="exact"/>
        <w:rPr>
          <w:sz w:val="20"/>
          <w:szCs w:val="20"/>
          <w:color w:val="auto"/>
        </w:rPr>
      </w:pPr>
    </w:p>
    <w:p>
      <w:pPr>
        <w:ind w:right="20" w:firstLine="439"/>
        <w:spacing w:after="0" w:line="261" w:lineRule="auto"/>
        <w:rPr>
          <w:sz w:val="20"/>
          <w:szCs w:val="20"/>
          <w:color w:val="auto"/>
        </w:rPr>
      </w:pPr>
      <w:r>
        <w:rPr>
          <w:rFonts w:ascii="Arial" w:cs="Arial" w:eastAsia="Arial" w:hAnsi="Arial"/>
          <w:sz w:val="12"/>
          <w:szCs w:val="12"/>
          <w:color w:val="auto"/>
        </w:rPr>
        <w:t xml:space="preserve">The decline in cost of goods sold for the three months period was primarily due to lower royalties as a result of decreased APOKYN net product sales, partially offset by additional costs of $1.3 million for rejected MYOBLOC inventory lots in connection with the minimum purchase commitments. The increase in cost of goods sold for the nine months period was primarily due to higher cost recorded in 2021 for the acquired commercial products which is attributable to the timing of the USWM Acquisition that was completed on June 9, 2020, costs of $7.0 million for rejected MYOBLOC inventory lots, partially offset by lower royalties in the current year. Refer to Part I, Item 1, Unaudited Condensed Financial Statements, Note 15,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in the Notes to the Condensed Consolidated Financial Statements for discussion regarding annual minimum purchase quantity requirements of MYOBLOC.</w:t>
      </w:r>
    </w:p>
    <w:p>
      <w:pPr>
        <w:spacing w:after="0" w:line="101" w:lineRule="exact"/>
        <w:rPr>
          <w:sz w:val="20"/>
          <w:szCs w:val="20"/>
          <w:color w:val="auto"/>
        </w:rPr>
      </w:pPr>
    </w:p>
    <w:p>
      <w:pPr>
        <w:ind w:right="20" w:firstLine="439"/>
        <w:spacing w:after="0" w:line="261" w:lineRule="auto"/>
        <w:rPr>
          <w:sz w:val="20"/>
          <w:szCs w:val="20"/>
          <w:color w:val="auto"/>
        </w:rPr>
      </w:pPr>
      <w:r>
        <w:rPr>
          <w:rFonts w:ascii="Arial" w:cs="Arial" w:eastAsia="Arial" w:hAnsi="Arial"/>
          <w:sz w:val="12"/>
          <w:szCs w:val="12"/>
          <w:color w:val="auto"/>
        </w:rPr>
        <w:t>Also included in cost of goods sold for the three and nine months ended September 30, 2021 are de minimis costs for Qelbree inventory sold. We manufacture Qelbree inventory for commercial sale and for use in our samples program. Manufacturing costs related to Qelbree inventory build-up incurred before FDA approval and prior to first quarter of 2020, when the Company began capitalizing pre-launch inventory, were expensed to research and development expense. The manufactured Qelbree inventory prior to FDA approval consisted of $8.6 million raw materials inventory, which was expensed as research and development expense in 2019. Therefore, cost of goods sold for Qelbree for the three and nine months ended September 30, 2021 does not include raw material cost that was previously expensed. We expect our cost of goods sold to increase in the future as this inventory is sold, which will have a negative impact on our operating earnings.</w:t>
      </w:r>
    </w:p>
    <w:p>
      <w:pPr>
        <w:spacing w:after="0" w:line="110" w:lineRule="exact"/>
        <w:rPr>
          <w:sz w:val="20"/>
          <w:szCs w:val="20"/>
          <w:color w:val="auto"/>
        </w:rPr>
      </w:pPr>
    </w:p>
    <w:p>
      <w:pPr>
        <w:jc w:val="both"/>
        <w:ind w:right="240" w:firstLine="439"/>
        <w:spacing w:after="0" w:line="269" w:lineRule="auto"/>
        <w:rPr>
          <w:sz w:val="20"/>
          <w:szCs w:val="20"/>
          <w:color w:val="auto"/>
        </w:rPr>
      </w:pPr>
      <w:r>
        <w:rPr>
          <w:rFonts w:ascii="Arial" w:cs="Arial" w:eastAsia="Arial" w:hAnsi="Arial"/>
          <w:sz w:val="12"/>
          <w:szCs w:val="12"/>
          <w:color w:val="auto"/>
        </w:rPr>
        <w:t>The time period over which reduced-cost Qelbree inventory is consumed will depend on a number of factors, including the amount of future Qelbree sales, the ultimate use of this inventory in either commercial sales, clinical development or other research activities, and the ability to utilize inventory prior to its expiration date. At this time, we expect to sell as commercial inventory or consume as samples substantially all of the reduced-cost inventory by the first half of 2022.</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3" w:name="page34"/>
    <w:bookmarkEnd w:id="33"/>
    <w:p>
      <w:pPr>
        <w:ind w:left="7"/>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Research and Development Expenses</w:t>
      </w:r>
    </w:p>
    <w:p>
      <w:pPr>
        <w:spacing w:after="0" w:line="127" w:lineRule="exact"/>
        <w:rPr>
          <w:sz w:val="20"/>
          <w:szCs w:val="20"/>
          <w:color w:val="auto"/>
        </w:rPr>
      </w:pPr>
    </w:p>
    <w:p>
      <w:pPr>
        <w:ind w:left="447"/>
        <w:spacing w:after="0"/>
        <w:rPr>
          <w:sz w:val="20"/>
          <w:szCs w:val="20"/>
          <w:color w:val="auto"/>
        </w:rPr>
      </w:pPr>
      <w:r>
        <w:rPr>
          <w:rFonts w:ascii="Arial" w:cs="Arial" w:eastAsia="Arial" w:hAnsi="Arial"/>
          <w:sz w:val="12"/>
          <w:szCs w:val="12"/>
          <w:color w:val="auto"/>
        </w:rPr>
        <w:t>The following table provides information regarding our research and development (R&amp;D) expenses during the periods indicated (dollars in thousands):</w:t>
      </w:r>
    </w:p>
    <w:p>
      <w:pPr>
        <w:spacing w:after="0" w:line="1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vMerge w:val="restart"/>
          </w:tcPr>
          <w:p>
            <w:pPr>
              <w:ind w:left="660"/>
              <w:spacing w:after="0"/>
              <w:rPr>
                <w:sz w:val="20"/>
                <w:szCs w:val="20"/>
                <w:color w:val="auto"/>
              </w:rPr>
            </w:pPr>
            <w:r>
              <w:rPr>
                <w:rFonts w:ascii="Arial" w:cs="Arial" w:eastAsia="Arial" w:hAnsi="Arial"/>
                <w:sz w:val="10"/>
                <w:szCs w:val="10"/>
                <w:b w:val="1"/>
                <w:bCs w:val="1"/>
                <w:color w:val="auto"/>
              </w:rPr>
              <w:t>Change</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Nine Months ended</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restart"/>
          </w:tcPr>
          <w:p>
            <w:pPr>
              <w:ind w:left="640"/>
              <w:spacing w:after="0"/>
              <w:rPr>
                <w:sz w:val="20"/>
                <w:szCs w:val="20"/>
                <w:color w:val="auto"/>
              </w:rPr>
            </w:pPr>
            <w:r>
              <w:rPr>
                <w:rFonts w:ascii="Arial" w:cs="Arial" w:eastAsia="Arial" w:hAnsi="Arial"/>
                <w:sz w:val="10"/>
                <w:szCs w:val="10"/>
                <w:b w:val="1"/>
                <w:bCs w:val="1"/>
                <w:color w:val="auto"/>
              </w:rPr>
              <w:t>Change</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0"/>
                <w:szCs w:val="10"/>
                <w:b w:val="1"/>
                <w:bCs w:val="1"/>
                <w:color w:val="auto"/>
              </w:rPr>
              <w:t>September 30,</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0"/>
                <w:szCs w:val="10"/>
                <w:b w:val="1"/>
                <w:bCs w:val="1"/>
                <w:color w:val="auto"/>
              </w:rPr>
              <w:t>September 30,</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ind w:right="342"/>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jc w:val="right"/>
              <w:ind w:right="320"/>
              <w:spacing w:after="0"/>
              <w:rPr>
                <w:sz w:val="20"/>
                <w:szCs w:val="20"/>
                <w:color w:val="auto"/>
              </w:rPr>
            </w:pPr>
            <w:r>
              <w:rPr>
                <w:rFonts w:ascii="Arial" w:cs="Arial" w:eastAsia="Arial" w:hAnsi="Arial"/>
                <w:sz w:val="10"/>
                <w:szCs w:val="10"/>
                <w:b w:val="1"/>
                <w:bCs w:val="1"/>
                <w:color w:val="auto"/>
                <w:w w:val="80"/>
              </w:rPr>
              <w:t>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tcPr>
          <w:p>
            <w:pPr>
              <w:ind w:left="120"/>
              <w:spacing w:after="0"/>
              <w:rPr>
                <w:sz w:val="20"/>
                <w:szCs w:val="20"/>
                <w:color w:val="auto"/>
              </w:rPr>
            </w:pPr>
            <w:r>
              <w:rPr>
                <w:rFonts w:ascii="Arial" w:cs="Arial" w:eastAsia="Arial" w:hAnsi="Arial"/>
                <w:sz w:val="10"/>
                <w:szCs w:val="10"/>
                <w:b w:val="1"/>
                <w:bCs w:val="1"/>
                <w:color w:val="auto"/>
              </w:rPr>
              <w:t>Amount</w:t>
            </w:r>
          </w:p>
        </w:tc>
        <w:tc>
          <w:tcPr>
            <w:tcW w:w="740" w:type="dxa"/>
            <w:vAlign w:val="bottom"/>
          </w:tcPr>
          <w:p>
            <w:pPr>
              <w:ind w:left="100"/>
              <w:spacing w:after="0"/>
              <w:rPr>
                <w:sz w:val="20"/>
                <w:szCs w:val="20"/>
                <w:color w:val="auto"/>
              </w:rPr>
            </w:pPr>
            <w:r>
              <w:rPr>
                <w:rFonts w:ascii="Arial" w:cs="Arial" w:eastAsia="Arial" w:hAnsi="Arial"/>
                <w:sz w:val="10"/>
                <w:szCs w:val="10"/>
                <w:b w:val="1"/>
                <w:bCs w:val="1"/>
                <w:color w:val="auto"/>
              </w:rPr>
              <w:t>Percent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ind w:right="322"/>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jc w:val="right"/>
              <w:ind w:right="320"/>
              <w:spacing w:after="0"/>
              <w:rPr>
                <w:sz w:val="20"/>
                <w:szCs w:val="20"/>
                <w:color w:val="auto"/>
              </w:rPr>
            </w:pPr>
            <w:r>
              <w:rPr>
                <w:rFonts w:ascii="Arial" w:cs="Arial" w:eastAsia="Arial" w:hAnsi="Arial"/>
                <w:sz w:val="10"/>
                <w:szCs w:val="10"/>
                <w:b w:val="1"/>
                <w:bCs w:val="1"/>
                <w:color w:val="auto"/>
                <w:w w:val="80"/>
              </w:rPr>
              <w:t>2020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120"/>
              <w:spacing w:after="0"/>
              <w:rPr>
                <w:sz w:val="20"/>
                <w:szCs w:val="20"/>
                <w:color w:val="auto"/>
              </w:rPr>
            </w:pPr>
            <w:r>
              <w:rPr>
                <w:rFonts w:ascii="Arial" w:cs="Arial" w:eastAsia="Arial" w:hAnsi="Arial"/>
                <w:sz w:val="10"/>
                <w:szCs w:val="10"/>
                <w:b w:val="1"/>
                <w:bCs w:val="1"/>
                <w:color w:val="auto"/>
              </w:rPr>
              <w:t>Amount</w:t>
            </w:r>
          </w:p>
        </w:tc>
        <w:tc>
          <w:tcPr>
            <w:tcW w:w="760" w:type="dxa"/>
            <w:vAlign w:val="bottom"/>
          </w:tcPr>
          <w:p>
            <w:pPr>
              <w:ind w:left="120"/>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37"/>
        </w:trPr>
        <w:tc>
          <w:tcPr>
            <w:tcW w:w="296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2"/>
                <w:szCs w:val="12"/>
                <w:color w:val="auto"/>
              </w:rPr>
              <w:t xml:space="preserve">Direct Project Costs </w:t>
            </w:r>
            <w:r>
              <w:rPr>
                <w:rFonts w:ascii="Arial" w:cs="Arial" w:eastAsia="Arial" w:hAnsi="Arial"/>
                <w:sz w:val="15"/>
                <w:szCs w:val="15"/>
                <w:color w:val="auto"/>
                <w:vertAlign w:val="superscript"/>
              </w:rPr>
              <w:t>(1)</w:t>
            </w:r>
          </w:p>
        </w:tc>
        <w:tc>
          <w:tcPr>
            <w:tcW w:w="2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80"/>
              <w:spacing w:after="0"/>
              <w:rPr>
                <w:sz w:val="20"/>
                <w:szCs w:val="20"/>
                <w:color w:val="auto"/>
              </w:rPr>
            </w:pPr>
            <w:r>
              <w:rPr>
                <w:rFonts w:ascii="Arial" w:cs="Arial" w:eastAsia="Arial" w:hAnsi="Arial"/>
                <w:sz w:val="12"/>
                <w:szCs w:val="12"/>
                <w:color w:val="auto"/>
              </w:rPr>
              <w:t>SPN-812</w:t>
            </w: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2,570</w:t>
            </w:r>
          </w:p>
        </w:tc>
        <w:tc>
          <w:tcPr>
            <w:tcW w:w="80" w:type="dxa"/>
            <w:vAlign w:val="bottom"/>
          </w:tcPr>
          <w:p>
            <w:pPr>
              <w:spacing w:after="0"/>
              <w:rPr>
                <w:sz w:val="13"/>
                <w:szCs w:val="13"/>
                <w:color w:val="auto"/>
              </w:rPr>
            </w:pPr>
          </w:p>
        </w:tc>
        <w:tc>
          <w:tcPr>
            <w:tcW w:w="400" w:type="dxa"/>
            <w:vAlign w:val="bottom"/>
          </w:tcPr>
          <w:p>
            <w:pPr>
              <w:jc w:val="right"/>
              <w:ind w:right="259"/>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5,048</w:t>
            </w: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(2,478)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center"/>
              <w:ind w:right="180"/>
              <w:spacing w:after="0"/>
              <w:rPr>
                <w:sz w:val="20"/>
                <w:szCs w:val="20"/>
                <w:color w:val="auto"/>
              </w:rPr>
            </w:pPr>
            <w:r>
              <w:rPr>
                <w:rFonts w:ascii="Arial" w:cs="Arial" w:eastAsia="Arial" w:hAnsi="Arial"/>
                <w:sz w:val="12"/>
                <w:szCs w:val="12"/>
                <w:color w:val="auto"/>
                <w:w w:val="93"/>
              </w:rPr>
              <w:t>(49)%</w:t>
            </w:r>
          </w:p>
        </w:tc>
        <w:tc>
          <w:tcPr>
            <w:tcW w:w="8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7,658</w:t>
            </w:r>
          </w:p>
        </w:tc>
        <w:tc>
          <w:tcPr>
            <w:tcW w:w="80" w:type="dxa"/>
            <w:vAlign w:val="bottom"/>
          </w:tcPr>
          <w:p>
            <w:pPr>
              <w:spacing w:after="0"/>
              <w:rPr>
                <w:sz w:val="13"/>
                <w:szCs w:val="13"/>
                <w:color w:val="auto"/>
              </w:rPr>
            </w:pPr>
          </w:p>
        </w:tc>
        <w:tc>
          <w:tcPr>
            <w:tcW w:w="380" w:type="dxa"/>
            <w:vAlign w:val="bottom"/>
          </w:tcPr>
          <w:p>
            <w:pPr>
              <w:jc w:val="right"/>
              <w:ind w:right="239"/>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16,752</w:t>
            </w:r>
          </w:p>
        </w:tc>
        <w:tc>
          <w:tcPr>
            <w:tcW w:w="80" w:type="dxa"/>
            <w:vAlign w:val="bottom"/>
          </w:tcPr>
          <w:p>
            <w:pPr>
              <w:spacing w:after="0"/>
              <w:rPr>
                <w:sz w:val="13"/>
                <w:szCs w:val="13"/>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(9,094)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ind w:right="160"/>
              <w:spacing w:after="0"/>
              <w:rPr>
                <w:sz w:val="20"/>
                <w:szCs w:val="20"/>
                <w:color w:val="auto"/>
              </w:rPr>
            </w:pPr>
            <w:r>
              <w:rPr>
                <w:rFonts w:ascii="Arial" w:cs="Arial" w:eastAsia="Arial" w:hAnsi="Arial"/>
                <w:sz w:val="12"/>
                <w:szCs w:val="12"/>
                <w:color w:val="auto"/>
                <w:w w:val="93"/>
              </w:rPr>
              <w:t>(54)%</w:t>
            </w:r>
          </w:p>
        </w:tc>
        <w:tc>
          <w:tcPr>
            <w:tcW w:w="0" w:type="dxa"/>
            <w:vAlign w:val="bottom"/>
          </w:tcPr>
          <w:p>
            <w:pPr>
              <w:spacing w:after="0"/>
              <w:rPr>
                <w:sz w:val="1"/>
                <w:szCs w:val="1"/>
                <w:color w:val="auto"/>
              </w:rPr>
            </w:pPr>
          </w:p>
        </w:tc>
      </w:tr>
      <w:tr>
        <w:trPr>
          <w:trHeight w:val="156"/>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SPN-830</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center"/>
              <w:ind w:right="180"/>
              <w:spacing w:after="0"/>
              <w:rPr>
                <w:sz w:val="20"/>
                <w:szCs w:val="20"/>
                <w:color w:val="auto"/>
              </w:rPr>
            </w:pPr>
            <w:r>
              <w:rPr>
                <w:rFonts w:ascii="Arial" w:cs="Arial" w:eastAsia="Arial" w:hAnsi="Arial"/>
                <w:sz w:val="12"/>
                <w:szCs w:val="12"/>
                <w:color w:val="auto"/>
                <w:w w:val="93"/>
              </w:rPr>
              <w:t>(44)%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93"/>
              </w:rPr>
              <w:t>(35)%</w:t>
            </w:r>
          </w:p>
        </w:tc>
        <w:tc>
          <w:tcPr>
            <w:tcW w:w="0" w:type="dxa"/>
            <w:vAlign w:val="bottom"/>
          </w:tcPr>
          <w:p>
            <w:pPr>
              <w:spacing w:after="0"/>
              <w:rPr>
                <w:sz w:val="1"/>
                <w:szCs w:val="1"/>
                <w:color w:val="auto"/>
              </w:rPr>
            </w:pPr>
          </w:p>
        </w:tc>
      </w:tr>
      <w:tr>
        <w:trPr>
          <w:trHeight w:val="155"/>
        </w:trPr>
        <w:tc>
          <w:tcPr>
            <w:tcW w:w="2960" w:type="dxa"/>
            <w:vAlign w:val="bottom"/>
          </w:tcPr>
          <w:p>
            <w:pPr>
              <w:ind w:left="80"/>
              <w:spacing w:after="0"/>
              <w:rPr>
                <w:sz w:val="20"/>
                <w:szCs w:val="20"/>
                <w:color w:val="auto"/>
              </w:rPr>
            </w:pPr>
            <w:r>
              <w:rPr>
                <w:rFonts w:ascii="Arial" w:cs="Arial" w:eastAsia="Arial" w:hAnsi="Arial"/>
                <w:sz w:val="12"/>
                <w:szCs w:val="12"/>
                <w:color w:val="auto"/>
              </w:rPr>
              <w:t>SPN-820</w:t>
            </w:r>
          </w:p>
        </w:tc>
        <w:tc>
          <w:tcPr>
            <w:tcW w:w="24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2,527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3,537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center"/>
              <w:ind w:right="180"/>
              <w:spacing w:after="0"/>
              <w:rPr>
                <w:sz w:val="20"/>
                <w:szCs w:val="20"/>
                <w:color w:val="auto"/>
              </w:rPr>
            </w:pPr>
            <w:r>
              <w:rPr>
                <w:rFonts w:ascii="Arial" w:cs="Arial" w:eastAsia="Arial" w:hAnsi="Arial"/>
                <w:sz w:val="12"/>
                <w:szCs w:val="12"/>
                <w:color w:val="auto"/>
                <w:w w:val="93"/>
              </w:rPr>
              <w:t>(29)%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7,642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3,240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ind w:right="160"/>
              <w:spacing w:after="0"/>
              <w:rPr>
                <w:sz w:val="20"/>
                <w:szCs w:val="20"/>
                <w:color w:val="auto"/>
              </w:rPr>
            </w:pPr>
            <w:r>
              <w:rPr>
                <w:rFonts w:ascii="Arial" w:cs="Arial" w:eastAsia="Arial" w:hAnsi="Arial"/>
                <w:sz w:val="12"/>
                <w:szCs w:val="12"/>
                <w:color w:val="auto"/>
                <w:w w:val="91"/>
              </w:rPr>
              <w:t>74%</w:t>
            </w:r>
          </w:p>
        </w:tc>
        <w:tc>
          <w:tcPr>
            <w:tcW w:w="0" w:type="dxa"/>
            <w:vAlign w:val="bottom"/>
          </w:tcPr>
          <w:p>
            <w:pPr>
              <w:spacing w:after="0"/>
              <w:rPr>
                <w:sz w:val="1"/>
                <w:szCs w:val="1"/>
                <w:color w:val="auto"/>
              </w:rPr>
            </w:pPr>
          </w:p>
        </w:tc>
      </w:tr>
      <w:tr>
        <w:trPr>
          <w:trHeight w:val="156"/>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SPN-860</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2,481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4,819</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9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Others</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1,967</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jc w:val="center"/>
              <w:ind w:right="180"/>
              <w:spacing w:after="0"/>
              <w:rPr>
                <w:sz w:val="20"/>
                <w:szCs w:val="20"/>
                <w:color w:val="auto"/>
              </w:rPr>
            </w:pPr>
            <w:r>
              <w:rPr>
                <w:rFonts w:ascii="Arial" w:cs="Arial" w:eastAsia="Arial" w:hAnsi="Arial"/>
                <w:sz w:val="12"/>
                <w:szCs w:val="12"/>
                <w:color w:val="auto"/>
                <w:w w:val="91"/>
              </w:rPr>
              <w:t>45%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6,762</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7,694</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(932)</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center"/>
              <w:ind w:right="160"/>
              <w:spacing w:after="0"/>
              <w:rPr>
                <w:sz w:val="20"/>
                <w:szCs w:val="20"/>
                <w:color w:val="auto"/>
              </w:rPr>
            </w:pPr>
            <w:r>
              <w:rPr>
                <w:rFonts w:ascii="Arial" w:cs="Arial" w:eastAsia="Arial" w:hAnsi="Arial"/>
                <w:sz w:val="12"/>
                <w:szCs w:val="12"/>
                <w:color w:val="auto"/>
                <w:w w:val="93"/>
              </w:rPr>
              <w:t>(12)%</w:t>
            </w:r>
          </w:p>
        </w:tc>
        <w:tc>
          <w:tcPr>
            <w:tcW w:w="0" w:type="dxa"/>
            <w:vAlign w:val="bottom"/>
          </w:tcPr>
          <w:p>
            <w:pPr>
              <w:spacing w:after="0"/>
              <w:rPr>
                <w:sz w:val="1"/>
                <w:szCs w:val="1"/>
                <w:color w:val="auto"/>
              </w:rPr>
            </w:pPr>
          </w:p>
        </w:tc>
      </w:tr>
      <w:tr>
        <w:trPr>
          <w:trHeight w:val="145"/>
        </w:trPr>
        <w:tc>
          <w:tcPr>
            <w:tcW w:w="2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9,867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94"/>
              </w:rPr>
              <w:t>(8)%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27,718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29,990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Other R&amp;D expense</w:t>
            </w:r>
          </w:p>
        </w:tc>
        <w:tc>
          <w:tcPr>
            <w:tcW w:w="2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5,000</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91"/>
              </w:rPr>
              <w:t>50%</w:t>
            </w: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Indirect Project Costs </w:t>
            </w:r>
            <w:r>
              <w:rPr>
                <w:rFonts w:ascii="Arial" w:cs="Arial" w:eastAsia="Arial" w:hAnsi="Arial"/>
                <w:sz w:val="15"/>
                <w:szCs w:val="15"/>
                <w:color w:val="auto"/>
                <w:vertAlign w:val="superscript"/>
              </w:rPr>
              <w:t>(1)</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80"/>
              <w:spacing w:after="0"/>
              <w:rPr>
                <w:sz w:val="20"/>
                <w:szCs w:val="20"/>
                <w:color w:val="auto"/>
              </w:rPr>
            </w:pPr>
            <w:r>
              <w:rPr>
                <w:rFonts w:ascii="Arial" w:cs="Arial" w:eastAsia="Arial" w:hAnsi="Arial"/>
                <w:sz w:val="12"/>
                <w:szCs w:val="12"/>
                <w:color w:val="auto"/>
              </w:rPr>
              <w:t>Share-based compensation</w:t>
            </w:r>
          </w:p>
        </w:tc>
        <w:tc>
          <w:tcPr>
            <w:tcW w:w="24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615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center"/>
              <w:ind w:right="180"/>
              <w:spacing w:after="0"/>
              <w:rPr>
                <w:sz w:val="20"/>
                <w:szCs w:val="20"/>
                <w:color w:val="auto"/>
              </w:rPr>
            </w:pPr>
            <w:r>
              <w:rPr>
                <w:rFonts w:ascii="Arial" w:cs="Arial" w:eastAsia="Arial" w:hAnsi="Arial"/>
                <w:sz w:val="12"/>
                <w:szCs w:val="12"/>
                <w:color w:val="auto"/>
                <w:w w:val="93"/>
              </w:rPr>
              <w:t>(21)%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1,909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ind w:right="160"/>
              <w:spacing w:after="0"/>
              <w:rPr>
                <w:sz w:val="20"/>
                <w:szCs w:val="20"/>
                <w:color w:val="auto"/>
              </w:rPr>
            </w:pPr>
            <w:r>
              <w:rPr>
                <w:rFonts w:ascii="Arial" w:cs="Arial" w:eastAsia="Arial" w:hAnsi="Arial"/>
                <w:sz w:val="12"/>
                <w:szCs w:val="12"/>
                <w:color w:val="auto"/>
                <w:w w:val="93"/>
              </w:rPr>
              <w:t>(16)%</w:t>
            </w:r>
          </w:p>
        </w:tc>
        <w:tc>
          <w:tcPr>
            <w:tcW w:w="0" w:type="dxa"/>
            <w:vAlign w:val="bottom"/>
          </w:tcPr>
          <w:p>
            <w:pPr>
              <w:spacing w:after="0"/>
              <w:rPr>
                <w:sz w:val="1"/>
                <w:szCs w:val="1"/>
                <w:color w:val="auto"/>
              </w:rPr>
            </w:pPr>
          </w:p>
        </w:tc>
      </w:tr>
      <w:tr>
        <w:trPr>
          <w:trHeight w:val="156"/>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indirect overhead</w:t>
            </w: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9,172</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5,297</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3,875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center"/>
              <w:ind w:right="180"/>
              <w:spacing w:after="0"/>
              <w:rPr>
                <w:sz w:val="20"/>
                <w:szCs w:val="20"/>
                <w:color w:val="auto"/>
              </w:rPr>
            </w:pPr>
            <w:r>
              <w:rPr>
                <w:rFonts w:ascii="Arial" w:cs="Arial" w:eastAsia="Arial" w:hAnsi="Arial"/>
                <w:sz w:val="12"/>
                <w:szCs w:val="12"/>
                <w:color w:val="auto"/>
                <w:w w:val="91"/>
              </w:rPr>
              <w:t>73%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24,762</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15,757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9,005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91"/>
              </w:rPr>
              <w:t>57%</w:t>
            </w:r>
          </w:p>
        </w:tc>
        <w:tc>
          <w:tcPr>
            <w:tcW w:w="0" w:type="dxa"/>
            <w:vAlign w:val="bottom"/>
          </w:tcPr>
          <w:p>
            <w:pPr>
              <w:spacing w:after="0"/>
              <w:rPr>
                <w:sz w:val="1"/>
                <w:szCs w:val="1"/>
                <w:color w:val="auto"/>
              </w:rPr>
            </w:pPr>
          </w:p>
        </w:tc>
      </w:tr>
      <w:tr>
        <w:trPr>
          <w:trHeight w:val="144"/>
        </w:trPr>
        <w:tc>
          <w:tcPr>
            <w:tcW w:w="29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9,787</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6,074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3,713</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jc w:val="center"/>
              <w:ind w:right="180"/>
              <w:spacing w:after="0"/>
              <w:rPr>
                <w:sz w:val="20"/>
                <w:szCs w:val="20"/>
                <w:color w:val="auto"/>
              </w:rPr>
            </w:pPr>
            <w:r>
              <w:rPr>
                <w:rFonts w:ascii="Arial" w:cs="Arial" w:eastAsia="Arial" w:hAnsi="Arial"/>
                <w:sz w:val="12"/>
                <w:szCs w:val="12"/>
                <w:color w:val="auto"/>
                <w:w w:val="91"/>
              </w:rPr>
              <w:t>61%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26,671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18,033</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8,638</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center"/>
              <w:ind w:right="160"/>
              <w:spacing w:after="0"/>
              <w:rPr>
                <w:sz w:val="20"/>
                <w:szCs w:val="20"/>
                <w:color w:val="auto"/>
              </w:rPr>
            </w:pPr>
            <w:r>
              <w:rPr>
                <w:rFonts w:ascii="Arial" w:cs="Arial" w:eastAsia="Arial" w:hAnsi="Arial"/>
                <w:sz w:val="12"/>
                <w:szCs w:val="12"/>
                <w:color w:val="auto"/>
                <w:w w:val="91"/>
              </w:rPr>
              <w:t>48%</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Research and development expense</w:t>
            </w:r>
          </w:p>
        </w:tc>
        <w:tc>
          <w:tcPr>
            <w:tcW w:w="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19,654</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16,839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2,815</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center"/>
              <w:ind w:right="180"/>
              <w:spacing w:after="0"/>
              <w:rPr>
                <w:sz w:val="20"/>
                <w:szCs w:val="20"/>
                <w:color w:val="auto"/>
              </w:rPr>
            </w:pPr>
            <w:r>
              <w:rPr>
                <w:rFonts w:ascii="Arial" w:cs="Arial" w:eastAsia="Arial" w:hAnsi="Arial"/>
                <w:sz w:val="12"/>
                <w:szCs w:val="12"/>
                <w:color w:val="auto"/>
                <w:w w:val="91"/>
              </w:rPr>
              <w:t>17%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69,389</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58,023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11,366</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ind w:right="160"/>
              <w:spacing w:after="0"/>
              <w:rPr>
                <w:sz w:val="20"/>
                <w:szCs w:val="20"/>
                <w:color w:val="auto"/>
              </w:rPr>
            </w:pPr>
            <w:r>
              <w:rPr>
                <w:rFonts w:ascii="Arial" w:cs="Arial" w:eastAsia="Arial" w:hAnsi="Arial"/>
                <w:sz w:val="12"/>
                <w:szCs w:val="12"/>
                <w:color w:val="auto"/>
                <w:w w:val="91"/>
              </w:rPr>
              <w:t>20%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______________________________</w:t>
      </w:r>
    </w:p>
    <w:p>
      <w:pPr>
        <w:spacing w:after="0" w:line="49" w:lineRule="exact"/>
        <w:rPr>
          <w:sz w:val="20"/>
          <w:szCs w:val="20"/>
          <w:color w:val="auto"/>
        </w:rPr>
      </w:pPr>
    </w:p>
    <w:p>
      <w:pPr>
        <w:ind w:left="167" w:right="220" w:hanging="167"/>
        <w:spacing w:after="0" w:line="243" w:lineRule="auto"/>
        <w:tabs>
          <w:tab w:leader="none" w:pos="113" w:val="left"/>
        </w:tabs>
        <w:numPr>
          <w:ilvl w:val="0"/>
          <w:numId w:val="35"/>
        </w:numPr>
        <w:rPr>
          <w:rFonts w:ascii="Arial" w:cs="Arial" w:eastAsia="Arial" w:hAnsi="Arial"/>
          <w:sz w:val="13"/>
          <w:szCs w:val="13"/>
          <w:color w:val="auto"/>
          <w:vertAlign w:val="superscript"/>
        </w:rPr>
      </w:pPr>
      <w:r>
        <w:rPr>
          <w:rFonts w:ascii="Arial" w:cs="Arial" w:eastAsia="Arial" w:hAnsi="Arial"/>
          <w:sz w:val="10"/>
          <w:szCs w:val="10"/>
          <w:color w:val="auto"/>
        </w:rPr>
        <w:t>Direct costs, which include personnel costs and related benefits, are recorded on a project-by-project basis. Many of our R&amp;D costs are not attributable to any individual project because we share resources across several development projects. Indirect costs that support a number of our R&amp;D activities are recorded in the aggregate, including stock-based compensation.</w:t>
      </w:r>
    </w:p>
    <w:p>
      <w:pPr>
        <w:spacing w:after="0" w:line="104" w:lineRule="exact"/>
        <w:rPr>
          <w:sz w:val="20"/>
          <w:szCs w:val="20"/>
          <w:color w:val="auto"/>
        </w:rPr>
      </w:pPr>
    </w:p>
    <w:p>
      <w:pPr>
        <w:ind w:left="7" w:firstLine="439"/>
        <w:spacing w:after="0" w:line="269" w:lineRule="auto"/>
        <w:rPr>
          <w:sz w:val="20"/>
          <w:szCs w:val="20"/>
          <w:color w:val="auto"/>
        </w:rPr>
      </w:pPr>
      <w:r>
        <w:rPr>
          <w:rFonts w:ascii="Arial" w:cs="Arial" w:eastAsia="Arial" w:hAnsi="Arial"/>
          <w:sz w:val="12"/>
          <w:szCs w:val="12"/>
          <w:color w:val="auto"/>
        </w:rPr>
        <w:t>R&amp;D expenses were $19.7 million and $16.8 million for the three months ended September 30, 2021 and 2020, respectively. The $2.8 million increase was primarily due to higher regulatory activities related to the acquired products from the USWM Acquisition and Qelbree, increase in costs associated with MYOBLOC post-marketing commitment studies (SPN-860), offset by reduced spending on SPN-812 (Qelbree) Phase III programs. Qelbree for treatment of ADHD in pediatric patients was launched in May 2021 and the NDA for Qelbree for adults was submitted in the first half of 2021.</w:t>
      </w:r>
    </w:p>
    <w:p>
      <w:pPr>
        <w:spacing w:after="0" w:line="103" w:lineRule="exact"/>
        <w:rPr>
          <w:sz w:val="20"/>
          <w:szCs w:val="20"/>
          <w:color w:val="auto"/>
        </w:rPr>
      </w:pPr>
    </w:p>
    <w:p>
      <w:pPr>
        <w:ind w:left="7" w:right="80" w:firstLine="439"/>
        <w:spacing w:after="0" w:line="295" w:lineRule="auto"/>
        <w:rPr>
          <w:sz w:val="20"/>
          <w:szCs w:val="20"/>
          <w:color w:val="auto"/>
        </w:rPr>
      </w:pPr>
      <w:r>
        <w:rPr>
          <w:rFonts w:ascii="Arial" w:cs="Arial" w:eastAsia="Arial" w:hAnsi="Arial"/>
          <w:sz w:val="11"/>
          <w:szCs w:val="11"/>
          <w:color w:val="auto"/>
        </w:rPr>
        <w:t xml:space="preserve">R&amp;D expenses were $69.4 million and $58.0 million for the nine months ended September 30, 2021 and 2020, respectively. The $11.4 million increase was primarily due to the $15 million write-down of the investment in Navitor LLC; increased spending on SPN-820, which has advanced to a Phase II clinical program, and on MYOBLOC post-marketing commitment studies; and higher regulatory activities related to the acquired products. These increases are partially offset by reduced spending on SPN-812 (Qelbree) Phase III programs and the $10 million option fee paid in 2020. Refer to Part I, Item 1, Unaudited Condensed Consolidated Financial Statements, Note 5, </w:t>
      </w:r>
      <w:r>
        <w:rPr>
          <w:rFonts w:ascii="Arial" w:cs="Arial" w:eastAsia="Arial" w:hAnsi="Arial"/>
          <w:sz w:val="11"/>
          <w:szCs w:val="11"/>
          <w:i w:val="1"/>
          <w:iCs w:val="1"/>
          <w:color w:val="auto"/>
        </w:rPr>
        <w:t xml:space="preserve">Investments, </w:t>
      </w:r>
      <w:r>
        <w:rPr>
          <w:rFonts w:ascii="Arial" w:cs="Arial" w:eastAsia="Arial" w:hAnsi="Arial"/>
          <w:sz w:val="11"/>
          <w:szCs w:val="11"/>
          <w:color w:val="auto"/>
        </w:rPr>
        <w:t>in the Notes to the Condensed Consolidated Financial Statements, for further discussion of the write-down of the investment in Navitor LLC in 2021 and the option fee payment in 2020.</w:t>
      </w:r>
    </w:p>
    <w:p>
      <w:pPr>
        <w:spacing w:after="0" w:line="366"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21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131" w:right="299" w:bottom="1440" w:gutter="0" w:footer="0" w:header="0"/>
        </w:sectPr>
      </w:pPr>
    </w:p>
    <w:bookmarkStart w:id="34" w:name="page35"/>
    <w:bookmarkEnd w:id="3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Selling, General and Administrative Expenses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provides information regarding our selling, general and administrative (SG&amp;A) expenses during the periods indicated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20" w:type="dxa"/>
            <w:vAlign w:val="bottom"/>
          </w:tcPr>
          <w:p>
            <w:pPr>
              <w:spacing w:after="0"/>
              <w:rPr>
                <w:sz w:val="10"/>
                <w:szCs w:val="10"/>
                <w:color w:val="auto"/>
              </w:rPr>
            </w:pPr>
          </w:p>
        </w:tc>
        <w:tc>
          <w:tcPr>
            <w:tcW w:w="1620" w:type="dxa"/>
            <w:vAlign w:val="bottom"/>
            <w:gridSpan w:val="4"/>
          </w:tcPr>
          <w:p>
            <w:pPr>
              <w:ind w:left="560"/>
              <w:spacing w:after="0"/>
              <w:rPr>
                <w:sz w:val="20"/>
                <w:szCs w:val="20"/>
                <w:color w:val="auto"/>
              </w:rPr>
            </w:pPr>
            <w:r>
              <w:rPr>
                <w:rFonts w:ascii="Arial" w:cs="Arial" w:eastAsia="Arial" w:hAnsi="Arial"/>
                <w:sz w:val="10"/>
                <w:szCs w:val="10"/>
                <w:b w:val="1"/>
                <w:bCs w:val="1"/>
                <w:color w:val="auto"/>
              </w:rPr>
              <w:t>Three Months ended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restart"/>
          </w:tcPr>
          <w:p>
            <w:pPr>
              <w:ind w:left="640"/>
              <w:spacing w:after="0"/>
              <w:rPr>
                <w:sz w:val="20"/>
                <w:szCs w:val="20"/>
                <w:color w:val="auto"/>
              </w:rPr>
            </w:pPr>
            <w:r>
              <w:rPr>
                <w:rFonts w:ascii="Arial" w:cs="Arial" w:eastAsia="Arial" w:hAnsi="Arial"/>
                <w:sz w:val="10"/>
                <w:szCs w:val="10"/>
                <w:b w:val="1"/>
                <w:bCs w:val="1"/>
                <w:color w:val="auto"/>
              </w:rPr>
              <w:t>Change</w:t>
            </w: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3"/>
          </w:tcPr>
          <w:p>
            <w:pPr>
              <w:jc w:val="right"/>
              <w:spacing w:after="0"/>
              <w:rPr>
                <w:sz w:val="20"/>
                <w:szCs w:val="20"/>
                <w:color w:val="auto"/>
              </w:rPr>
            </w:pPr>
            <w:r>
              <w:rPr>
                <w:rFonts w:ascii="Arial" w:cs="Arial" w:eastAsia="Arial" w:hAnsi="Arial"/>
                <w:sz w:val="10"/>
                <w:szCs w:val="10"/>
                <w:b w:val="1"/>
                <w:bCs w:val="1"/>
                <w:color w:val="auto"/>
              </w:rPr>
              <w:t>Nine Months ended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restart"/>
          </w:tcPr>
          <w:p>
            <w:pPr>
              <w:ind w:left="640"/>
              <w:spacing w:after="0"/>
              <w:rPr>
                <w:sz w:val="20"/>
                <w:szCs w:val="20"/>
                <w:color w:val="auto"/>
              </w:rPr>
            </w:pPr>
            <w:r>
              <w:rPr>
                <w:rFonts w:ascii="Arial" w:cs="Arial" w:eastAsia="Arial" w:hAnsi="Arial"/>
                <w:sz w:val="10"/>
                <w:szCs w:val="10"/>
                <w:b w:val="1"/>
                <w:bCs w:val="1"/>
                <w:color w:val="auto"/>
              </w:rPr>
              <w:t>Change</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0"/>
                <w:szCs w:val="10"/>
                <w:b w:val="1"/>
                <w:bCs w:val="1"/>
                <w:color w:val="auto"/>
              </w:rPr>
              <w:t>September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2020</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120"/>
              <w:spacing w:after="0"/>
              <w:rPr>
                <w:sz w:val="20"/>
                <w:szCs w:val="20"/>
                <w:color w:val="auto"/>
              </w:rPr>
            </w:pPr>
            <w:r>
              <w:rPr>
                <w:rFonts w:ascii="Arial" w:cs="Arial" w:eastAsia="Arial" w:hAnsi="Arial"/>
                <w:sz w:val="10"/>
                <w:szCs w:val="10"/>
                <w:b w:val="1"/>
                <w:bCs w:val="1"/>
                <w:color w:val="auto"/>
              </w:rPr>
              <w:t>Amount</w:t>
            </w:r>
          </w:p>
        </w:tc>
        <w:tc>
          <w:tcPr>
            <w:tcW w:w="760" w:type="dxa"/>
            <w:vAlign w:val="bottom"/>
          </w:tcPr>
          <w:p>
            <w:pPr>
              <w:jc w:val="center"/>
              <w:ind w:right="182"/>
              <w:spacing w:after="0"/>
              <w:rPr>
                <w:sz w:val="20"/>
                <w:szCs w:val="20"/>
                <w:color w:val="auto"/>
              </w:rPr>
            </w:pPr>
            <w:r>
              <w:rPr>
                <w:rFonts w:ascii="Arial" w:cs="Arial" w:eastAsia="Arial" w:hAnsi="Arial"/>
                <w:sz w:val="10"/>
                <w:szCs w:val="10"/>
                <w:b w:val="1"/>
                <w:bCs w:val="1"/>
                <w:color w:val="auto"/>
                <w:w w:val="87"/>
              </w:rPr>
              <w:t>Percent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ind w:right="345"/>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jc w:val="right"/>
              <w:ind w:right="322"/>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120"/>
              <w:spacing w:after="0"/>
              <w:rPr>
                <w:sz w:val="20"/>
                <w:szCs w:val="20"/>
                <w:color w:val="auto"/>
              </w:rPr>
            </w:pPr>
            <w:r>
              <w:rPr>
                <w:rFonts w:ascii="Arial" w:cs="Arial" w:eastAsia="Arial" w:hAnsi="Arial"/>
                <w:sz w:val="10"/>
                <w:szCs w:val="10"/>
                <w:color w:val="auto"/>
              </w:rPr>
              <w:t>Amount</w:t>
            </w:r>
          </w:p>
        </w:tc>
        <w:tc>
          <w:tcPr>
            <w:tcW w:w="760" w:type="dxa"/>
            <w:vAlign w:val="bottom"/>
          </w:tcPr>
          <w:p>
            <w:pPr>
              <w:jc w:val="center"/>
              <w:ind w:right="182"/>
              <w:spacing w:after="0"/>
              <w:rPr>
                <w:sz w:val="20"/>
                <w:szCs w:val="20"/>
                <w:color w:val="auto"/>
              </w:rPr>
            </w:pPr>
            <w:r>
              <w:rPr>
                <w:rFonts w:ascii="Arial" w:cs="Arial" w:eastAsia="Arial" w:hAnsi="Arial"/>
                <w:sz w:val="10"/>
                <w:szCs w:val="10"/>
                <w:b w:val="1"/>
                <w:bCs w:val="1"/>
                <w:color w:val="auto"/>
                <w:w w:val="87"/>
              </w:rPr>
              <w:t>Percent</w:t>
            </w:r>
          </w:p>
        </w:tc>
        <w:tc>
          <w:tcPr>
            <w:tcW w:w="0" w:type="dxa"/>
            <w:vAlign w:val="bottom"/>
          </w:tcPr>
          <w:p>
            <w:pPr>
              <w:spacing w:after="0"/>
              <w:rPr>
                <w:sz w:val="1"/>
                <w:szCs w:val="1"/>
                <w:color w:val="auto"/>
              </w:rPr>
            </w:pPr>
          </w:p>
        </w:tc>
      </w:tr>
      <w:tr>
        <w:trPr>
          <w:trHeight w:val="146"/>
        </w:trPr>
        <w:tc>
          <w:tcPr>
            <w:tcW w:w="3020" w:type="dxa"/>
            <w:vAlign w:val="bottom"/>
            <w:tcBorders>
              <w:top w:val="single" w:sz="8" w:color="CCEEFF"/>
            </w:tcBorders>
            <w:shd w:val="clear" w:color="auto" w:fill="CCEEFF"/>
          </w:tcPr>
          <w:p>
            <w:pPr>
              <w:ind w:left="40"/>
              <w:spacing w:after="0" w:line="137" w:lineRule="exact"/>
              <w:rPr>
                <w:sz w:val="20"/>
                <w:szCs w:val="20"/>
                <w:color w:val="auto"/>
              </w:rPr>
            </w:pPr>
            <w:r>
              <w:rPr>
                <w:rFonts w:ascii="Arial" w:cs="Arial" w:eastAsia="Arial" w:hAnsi="Arial"/>
                <w:sz w:val="12"/>
                <w:szCs w:val="12"/>
                <w:color w:val="auto"/>
              </w:rPr>
              <w:t>Selling and marketing</w:t>
            </w:r>
          </w:p>
        </w:tc>
        <w:tc>
          <w:tcPr>
            <w:tcW w:w="5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97"/>
              </w:rPr>
              <w:t>50,704</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38,127</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12,577</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ind w:right="162"/>
              <w:spacing w:after="0"/>
              <w:rPr>
                <w:sz w:val="20"/>
                <w:szCs w:val="20"/>
                <w:color w:val="auto"/>
              </w:rPr>
            </w:pPr>
            <w:r>
              <w:rPr>
                <w:rFonts w:ascii="Arial" w:cs="Arial" w:eastAsia="Arial" w:hAnsi="Arial"/>
                <w:sz w:val="12"/>
                <w:szCs w:val="12"/>
                <w:color w:val="auto"/>
                <w:w w:val="91"/>
              </w:rPr>
              <w:t>33%</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137,531</w:t>
            </w: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95,005</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42,526</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ind w:right="162"/>
              <w:spacing w:after="0"/>
              <w:rPr>
                <w:sz w:val="20"/>
                <w:szCs w:val="20"/>
                <w:color w:val="auto"/>
              </w:rPr>
            </w:pPr>
            <w:r>
              <w:rPr>
                <w:rFonts w:ascii="Arial" w:cs="Arial" w:eastAsia="Arial" w:hAnsi="Arial"/>
                <w:sz w:val="12"/>
                <w:szCs w:val="12"/>
                <w:color w:val="auto"/>
                <w:w w:val="91"/>
              </w:rPr>
              <w:t>45%</w:t>
            </w:r>
          </w:p>
        </w:tc>
        <w:tc>
          <w:tcPr>
            <w:tcW w:w="0" w:type="dxa"/>
            <w:vAlign w:val="bottom"/>
          </w:tcPr>
          <w:p>
            <w:pPr>
              <w:spacing w:after="0"/>
              <w:rPr>
                <w:sz w:val="1"/>
                <w:szCs w:val="1"/>
                <w:color w:val="auto"/>
              </w:rPr>
            </w:pPr>
          </w:p>
        </w:tc>
      </w:tr>
      <w:tr>
        <w:trPr>
          <w:trHeight w:val="155"/>
        </w:trPr>
        <w:tc>
          <w:tcPr>
            <w:tcW w:w="30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General and administrative</w:t>
            </w: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7"/>
              </w:rPr>
              <w:t>21,328</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16,333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4,995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center"/>
              <w:ind w:right="162"/>
              <w:spacing w:after="0"/>
              <w:rPr>
                <w:sz w:val="20"/>
                <w:szCs w:val="20"/>
                <w:color w:val="auto"/>
              </w:rPr>
            </w:pPr>
            <w:r>
              <w:rPr>
                <w:rFonts w:ascii="Arial" w:cs="Arial" w:eastAsia="Arial" w:hAnsi="Arial"/>
                <w:sz w:val="12"/>
                <w:szCs w:val="12"/>
                <w:color w:val="auto"/>
                <w:w w:val="91"/>
              </w:rPr>
              <w:t>31%</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65,493</w:t>
            </w: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49,172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16,321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center"/>
              <w:ind w:right="162"/>
              <w:spacing w:after="0"/>
              <w:rPr>
                <w:sz w:val="20"/>
                <w:szCs w:val="20"/>
                <w:color w:val="auto"/>
              </w:rPr>
            </w:pPr>
            <w:r>
              <w:rPr>
                <w:rFonts w:ascii="Arial" w:cs="Arial" w:eastAsia="Arial" w:hAnsi="Arial"/>
                <w:sz w:val="12"/>
                <w:szCs w:val="12"/>
                <w:color w:val="auto"/>
                <w:w w:val="91"/>
              </w:rPr>
              <w:t>33%</w:t>
            </w:r>
          </w:p>
        </w:tc>
        <w:tc>
          <w:tcPr>
            <w:tcW w:w="0" w:type="dxa"/>
            <w:vAlign w:val="bottom"/>
          </w:tcPr>
          <w:p>
            <w:pPr>
              <w:spacing w:after="0"/>
              <w:rPr>
                <w:sz w:val="1"/>
                <w:szCs w:val="1"/>
                <w:color w:val="auto"/>
              </w:rPr>
            </w:pPr>
          </w:p>
        </w:tc>
      </w:tr>
      <w:tr>
        <w:trPr>
          <w:trHeight w:val="162"/>
        </w:trPr>
        <w:tc>
          <w:tcPr>
            <w:tcW w:w="3020" w:type="dxa"/>
            <w:vAlign w:val="bottom"/>
            <w:tcBorders>
              <w:bottom w:val="single" w:sz="8" w:color="CCEEFF"/>
            </w:tcBorders>
            <w:shd w:val="clear" w:color="auto" w:fill="CCEEFF"/>
          </w:tcPr>
          <w:p>
            <w:pPr>
              <w:ind w:left="40"/>
              <w:spacing w:after="0" w:line="136" w:lineRule="exact"/>
              <w:rPr>
                <w:sz w:val="20"/>
                <w:szCs w:val="20"/>
                <w:color w:val="auto"/>
              </w:rPr>
            </w:pPr>
            <w:r>
              <w:rPr>
                <w:rFonts w:ascii="Arial" w:cs="Arial" w:eastAsia="Arial" w:hAnsi="Arial"/>
                <w:sz w:val="12"/>
                <w:szCs w:val="12"/>
                <w:color w:val="auto"/>
              </w:rPr>
              <w:t>Total</w:t>
            </w:r>
          </w:p>
        </w:tc>
        <w:tc>
          <w:tcPr>
            <w:tcW w:w="5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97"/>
              </w:rPr>
              <w:t>72,032</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54,460</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17,572</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ind w:right="162"/>
              <w:spacing w:after="0"/>
              <w:rPr>
                <w:sz w:val="20"/>
                <w:szCs w:val="20"/>
                <w:color w:val="auto"/>
              </w:rPr>
            </w:pPr>
            <w:r>
              <w:rPr>
                <w:rFonts w:ascii="Arial" w:cs="Arial" w:eastAsia="Arial" w:hAnsi="Arial"/>
                <w:sz w:val="12"/>
                <w:szCs w:val="12"/>
                <w:color w:val="auto"/>
                <w:w w:val="91"/>
              </w:rPr>
              <w:t>32%</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203,024</w:t>
            </w:r>
          </w:p>
        </w:tc>
        <w:tc>
          <w:tcPr>
            <w:tcW w:w="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144,177</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58,847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ind w:right="162"/>
              <w:spacing w:after="0"/>
              <w:rPr>
                <w:sz w:val="20"/>
                <w:szCs w:val="20"/>
                <w:color w:val="auto"/>
              </w:rPr>
            </w:pPr>
            <w:r>
              <w:rPr>
                <w:rFonts w:ascii="Arial" w:cs="Arial" w:eastAsia="Arial" w:hAnsi="Arial"/>
                <w:sz w:val="12"/>
                <w:szCs w:val="12"/>
                <w:color w:val="auto"/>
                <w:w w:val="91"/>
              </w:rPr>
              <w:t>41%</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and Marketing</w:t>
      </w:r>
    </w:p>
    <w:p>
      <w:pPr>
        <w:spacing w:after="0" w:line="127" w:lineRule="exact"/>
        <w:rPr>
          <w:sz w:val="20"/>
          <w:szCs w:val="20"/>
          <w:color w:val="auto"/>
        </w:rPr>
      </w:pPr>
    </w:p>
    <w:p>
      <w:pPr>
        <w:ind w:right="40" w:firstLine="439"/>
        <w:spacing w:after="0" w:line="269" w:lineRule="auto"/>
        <w:rPr>
          <w:sz w:val="20"/>
          <w:szCs w:val="20"/>
          <w:color w:val="auto"/>
        </w:rPr>
      </w:pPr>
      <w:r>
        <w:rPr>
          <w:rFonts w:ascii="Arial" w:cs="Arial" w:eastAsia="Arial" w:hAnsi="Arial"/>
          <w:sz w:val="12"/>
          <w:szCs w:val="12"/>
          <w:color w:val="auto"/>
        </w:rPr>
        <w:t>Selling and marketing expenses were $50.7 million and $38.1 million for the three months ended September 30, 2021 and 2020, respectively. Selling and marketing expenses were $137.5 million and $95.0 million for the nine months ended September 30, 2021 and 2020, respectively. The increases in both periods were primarily attributable to increased marketing expenses and professional consulting spend for the launch of Qelbree and the acquired commercial products from the USWM Acquisition. In addition, employee-related expenses also increased due to higher headcount to support the launch of Qelbree.</w:t>
      </w:r>
    </w:p>
    <w:p>
      <w:pPr>
        <w:spacing w:after="0" w:line="103" w:lineRule="exact"/>
        <w:rPr>
          <w:sz w:val="20"/>
          <w:szCs w:val="20"/>
          <w:color w:val="auto"/>
        </w:rPr>
      </w:pPr>
    </w:p>
    <w:p>
      <w:pPr>
        <w:ind w:right="120" w:firstLine="439"/>
        <w:spacing w:after="0" w:line="269" w:lineRule="auto"/>
        <w:rPr>
          <w:sz w:val="20"/>
          <w:szCs w:val="20"/>
          <w:color w:val="auto"/>
        </w:rPr>
      </w:pPr>
      <w:r>
        <w:rPr>
          <w:rFonts w:ascii="Arial" w:cs="Arial" w:eastAsia="Arial" w:hAnsi="Arial"/>
          <w:sz w:val="12"/>
          <w:szCs w:val="12"/>
          <w:color w:val="auto"/>
        </w:rPr>
        <w:t>In addition, the reduced-cost Qelbree samples were included in selling and marketing expenses for the three and nine months ended September 30, 2021. At full cost, these Qelbree samples would have resulted in $0.8 million and $4.0 million higher SG&amp;A for the three months ended and nine months ended September 30, 2021, respectively. At this time, we expect to sell as commercial inventory or consume as samples the reduced-cost Qelbree inventory by the first half of 2022.</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w:t>
      </w:r>
    </w:p>
    <w:p>
      <w:pPr>
        <w:spacing w:after="0" w:line="127" w:lineRule="exact"/>
        <w:rPr>
          <w:sz w:val="20"/>
          <w:szCs w:val="20"/>
          <w:color w:val="auto"/>
        </w:rPr>
      </w:pPr>
    </w:p>
    <w:p>
      <w:pPr>
        <w:ind w:right="60" w:firstLine="439"/>
        <w:spacing w:after="0" w:line="269" w:lineRule="auto"/>
        <w:rPr>
          <w:sz w:val="20"/>
          <w:szCs w:val="20"/>
          <w:color w:val="auto"/>
        </w:rPr>
      </w:pPr>
      <w:r>
        <w:rPr>
          <w:rFonts w:ascii="Arial" w:cs="Arial" w:eastAsia="Arial" w:hAnsi="Arial"/>
          <w:sz w:val="12"/>
          <w:szCs w:val="12"/>
          <w:color w:val="auto"/>
        </w:rPr>
        <w:t>General and administrative expenses were $21.3 million and $16.3 million for the three months ended September 30, 2021 and 2020, respectively. General and administrative expenses were $65.5 million and $49.2 million for the nine months ended September 30, 2021 and 2020, respectively. The increases in both periods were primarily attributable to increased professional consulting spend and increased headcount to support the integration of the MDD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Amortization of Intangible Assets</w:t>
      </w:r>
    </w:p>
    <w:p>
      <w:pPr>
        <w:spacing w:after="0" w:line="127" w:lineRule="exact"/>
        <w:rPr>
          <w:sz w:val="20"/>
          <w:szCs w:val="20"/>
          <w:color w:val="auto"/>
        </w:rPr>
      </w:pPr>
    </w:p>
    <w:p>
      <w:pPr>
        <w:jc w:val="both"/>
        <w:ind w:right="100" w:firstLine="439"/>
        <w:spacing w:after="0" w:line="283" w:lineRule="auto"/>
        <w:rPr>
          <w:sz w:val="20"/>
          <w:szCs w:val="20"/>
          <w:color w:val="auto"/>
        </w:rPr>
      </w:pPr>
      <w:r>
        <w:rPr>
          <w:rFonts w:ascii="Arial" w:cs="Arial" w:eastAsia="Arial" w:hAnsi="Arial"/>
          <w:sz w:val="12"/>
          <w:szCs w:val="12"/>
          <w:color w:val="auto"/>
        </w:rPr>
        <w:t>Amortization of intangible assets was $6.0 million and $6.1 million for the three months ended September 30, 2021 and 2020, respectively. Amortization of intangible assets was $18.0 million and $9.8 million for the nine months ended September 30, 2021 and 2020, respectively. The increase for nine month period was primarily due to timing of the USWM acquisition, which was completed on June 9, 2020.</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Contingent Consideration Expense (Gain)</w:t>
      </w:r>
    </w:p>
    <w:p>
      <w:pPr>
        <w:spacing w:after="0" w:line="137" w:lineRule="exact"/>
        <w:rPr>
          <w:sz w:val="20"/>
          <w:szCs w:val="20"/>
          <w:color w:val="auto"/>
        </w:rPr>
      </w:pPr>
    </w:p>
    <w:p>
      <w:pPr>
        <w:jc w:val="both"/>
        <w:ind w:right="80" w:firstLine="439"/>
        <w:spacing w:after="0" w:line="304" w:lineRule="auto"/>
        <w:rPr>
          <w:sz w:val="20"/>
          <w:szCs w:val="20"/>
          <w:color w:val="auto"/>
        </w:rPr>
      </w:pPr>
      <w:r>
        <w:rPr>
          <w:rFonts w:ascii="Arial" w:cs="Arial" w:eastAsia="Arial" w:hAnsi="Arial"/>
          <w:sz w:val="11"/>
          <w:szCs w:val="11"/>
          <w:color w:val="auto"/>
        </w:rPr>
        <w:t>The change in the fair value of the contingent consideration liabilities associated with the USWM Acquisition was an expense of $0.1 million for the three months ended September 30, 2021 and a gain of $7.7 million for the nine months ended September 30, 2021. The contingent consideration gain was primarily due to the reduction of the sales based contingent consideration liabilities recorded in the second quarter of 2021 offset by an increase in the estimated fair value of regulatory and developmental milestones due to passage of time. The Company assessed that these sales-based milestones will not be achieved based on the revised net sales projections.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5" w:name="page36"/>
    <w:bookmarkEnd w:id="3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Other Income (Expense)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0"/>
                <w:szCs w:val="10"/>
                <w:b w:val="1"/>
                <w:bCs w:val="1"/>
                <w:color w:val="auto"/>
                <w:w w:val="87"/>
              </w:rPr>
              <w:t>Three Months ended</w:t>
            </w:r>
          </w:p>
        </w:tc>
        <w:tc>
          <w:tcPr>
            <w:tcW w:w="160" w:type="dxa"/>
            <w:vAlign w:val="bottom"/>
          </w:tcPr>
          <w:p>
            <w:pPr>
              <w:spacing w:after="0"/>
              <w:rPr>
                <w:sz w:val="10"/>
                <w:szCs w:val="10"/>
                <w:color w:val="auto"/>
              </w:rPr>
            </w:pPr>
          </w:p>
        </w:tc>
        <w:tc>
          <w:tcPr>
            <w:tcW w:w="1040" w:type="dxa"/>
            <w:vAlign w:val="bottom"/>
            <w:gridSpan w:val="3"/>
            <w:vMerge w:val="restart"/>
          </w:tcPr>
          <w:p>
            <w:pPr>
              <w:ind w:left="640"/>
              <w:spacing w:after="0"/>
              <w:rPr>
                <w:sz w:val="20"/>
                <w:szCs w:val="20"/>
                <w:color w:val="auto"/>
              </w:rPr>
            </w:pPr>
            <w:r>
              <w:rPr>
                <w:rFonts w:ascii="Arial" w:cs="Arial" w:eastAsia="Arial" w:hAnsi="Arial"/>
                <w:sz w:val="10"/>
                <w:szCs w:val="10"/>
                <w:b w:val="1"/>
                <w:bCs w:val="1"/>
                <w:color w:val="auto"/>
              </w:rPr>
              <w:t>Change</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0"/>
                <w:szCs w:val="10"/>
                <w:b w:val="1"/>
                <w:bCs w:val="1"/>
                <w:color w:val="auto"/>
                <w:w w:val="86"/>
              </w:rPr>
              <w:t>Nine Months ended</w:t>
            </w:r>
          </w:p>
        </w:tc>
        <w:tc>
          <w:tcPr>
            <w:tcW w:w="180" w:type="dxa"/>
            <w:vAlign w:val="bottom"/>
          </w:tcPr>
          <w:p>
            <w:pPr>
              <w:spacing w:after="0"/>
              <w:rPr>
                <w:sz w:val="10"/>
                <w:szCs w:val="10"/>
                <w:color w:val="auto"/>
              </w:rPr>
            </w:pPr>
          </w:p>
        </w:tc>
        <w:tc>
          <w:tcPr>
            <w:tcW w:w="1020" w:type="dxa"/>
            <w:vAlign w:val="bottom"/>
            <w:gridSpan w:val="3"/>
            <w:vMerge w:val="restart"/>
          </w:tcPr>
          <w:p>
            <w:pPr>
              <w:ind w:left="620"/>
              <w:spacing w:after="0"/>
              <w:rPr>
                <w:sz w:val="20"/>
                <w:szCs w:val="20"/>
                <w:color w:val="auto"/>
              </w:rPr>
            </w:pPr>
            <w:r>
              <w:rPr>
                <w:rFonts w:ascii="Arial" w:cs="Arial" w:eastAsia="Arial" w:hAnsi="Arial"/>
                <w:sz w:val="10"/>
                <w:szCs w:val="10"/>
                <w:b w:val="1"/>
                <w:bCs w:val="1"/>
                <w:color w:val="auto"/>
              </w:rPr>
              <w:t>Change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0"/>
                <w:szCs w:val="10"/>
                <w:b w:val="1"/>
                <w:bCs w:val="1"/>
                <w:color w:val="auto"/>
                <w:w w:val="84"/>
              </w:rPr>
              <w:t>September 30,</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0"/>
                <w:szCs w:val="10"/>
                <w:b w:val="1"/>
                <w:bCs w:val="1"/>
                <w:color w:val="auto"/>
                <w:w w:val="87"/>
              </w:rPr>
              <w:t>September 30,</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284"/>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right"/>
              <w:ind w:right="281"/>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720" w:type="dxa"/>
            <w:vAlign w:val="bottom"/>
          </w:tcPr>
          <w:p>
            <w:pPr>
              <w:jc w:val="right"/>
              <w:ind w:right="261"/>
              <w:spacing w:after="0"/>
              <w:rPr>
                <w:sz w:val="20"/>
                <w:szCs w:val="20"/>
                <w:color w:val="auto"/>
              </w:rPr>
            </w:pPr>
            <w:r>
              <w:rPr>
                <w:rFonts w:ascii="Arial" w:cs="Arial" w:eastAsia="Arial" w:hAnsi="Arial"/>
                <w:sz w:val="10"/>
                <w:szCs w:val="10"/>
                <w:b w:val="1"/>
                <w:bCs w:val="1"/>
                <w:color w:val="auto"/>
              </w:rPr>
              <w:t>Percent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284"/>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right"/>
              <w:ind w:right="281"/>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3"/>
          </w:tcPr>
          <w:p>
            <w:pPr>
              <w:ind w:left="120"/>
              <w:spacing w:after="0"/>
              <w:rPr>
                <w:sz w:val="20"/>
                <w:szCs w:val="20"/>
                <w:color w:val="auto"/>
              </w:rPr>
            </w:pPr>
            <w:r>
              <w:rPr>
                <w:rFonts w:ascii="Arial" w:cs="Arial" w:eastAsia="Arial" w:hAnsi="Arial"/>
                <w:sz w:val="10"/>
                <w:szCs w:val="10"/>
                <w:b w:val="1"/>
                <w:bCs w:val="1"/>
                <w:color w:val="auto"/>
              </w:rPr>
              <w:t>Dollar</w:t>
            </w:r>
          </w:p>
        </w:tc>
        <w:tc>
          <w:tcPr>
            <w:tcW w:w="740" w:type="dxa"/>
            <w:vAlign w:val="bottom"/>
          </w:tcPr>
          <w:p>
            <w:pPr>
              <w:jc w:val="right"/>
              <w:ind w:right="281"/>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4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 and other income, net</w:t>
            </w: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2,281</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ind w:left="161"/>
              <w:spacing w:after="0"/>
              <w:rPr>
                <w:sz w:val="20"/>
                <w:szCs w:val="20"/>
                <w:color w:val="auto"/>
              </w:rPr>
            </w:pPr>
            <w:r>
              <w:rPr>
                <w:rFonts w:ascii="Arial" w:cs="Arial" w:eastAsia="Arial" w:hAnsi="Arial"/>
                <w:sz w:val="12"/>
                <w:szCs w:val="12"/>
                <w:color w:val="auto"/>
                <w:w w:val="93"/>
              </w:rPr>
              <w:t>2,659</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(378)</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8,682</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15,913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(7,231)</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55"/>
        </w:trPr>
        <w:tc>
          <w:tcPr>
            <w:tcW w:w="3540" w:type="dxa"/>
            <w:vAlign w:val="bottom"/>
          </w:tcPr>
          <w:p>
            <w:pPr>
              <w:spacing w:after="0"/>
              <w:rPr>
                <w:sz w:val="20"/>
                <w:szCs w:val="20"/>
                <w:color w:val="auto"/>
              </w:rPr>
            </w:pPr>
            <w:r>
              <w:rPr>
                <w:rFonts w:ascii="Arial" w:cs="Arial" w:eastAsia="Arial" w:hAnsi="Arial"/>
                <w:sz w:val="12"/>
                <w:szCs w:val="12"/>
                <w:color w:val="auto"/>
              </w:rPr>
              <w:t>Interest expense</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(5,033)</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center"/>
              <w:ind w:left="141"/>
              <w:spacing w:after="0"/>
              <w:rPr>
                <w:sz w:val="20"/>
                <w:szCs w:val="20"/>
                <w:color w:val="auto"/>
              </w:rPr>
            </w:pPr>
            <w:r>
              <w:rPr>
                <w:rFonts w:ascii="Arial" w:cs="Arial" w:eastAsia="Arial" w:hAnsi="Arial"/>
                <w:sz w:val="12"/>
                <w:szCs w:val="12"/>
                <w:color w:val="auto"/>
                <w:w w:val="89"/>
              </w:rPr>
              <w:t>(4,945)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(14,593)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(14,430)</w:t>
            </w:r>
          </w:p>
        </w:tc>
        <w:tc>
          <w:tcPr>
            <w:tcW w:w="8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(163)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20"/>
        </w:trPr>
        <w:tc>
          <w:tcPr>
            <w:tcW w:w="35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Interest expense on nonrecourse liability related to sale of future</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(892)</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center"/>
              <w:ind w:left="141"/>
              <w:spacing w:after="0"/>
              <w:rPr>
                <w:sz w:val="20"/>
                <w:szCs w:val="20"/>
                <w:color w:val="auto"/>
              </w:rPr>
            </w:pPr>
            <w:r>
              <w:rPr>
                <w:rFonts w:ascii="Arial" w:cs="Arial" w:eastAsia="Arial" w:hAnsi="Arial"/>
                <w:sz w:val="12"/>
                <w:szCs w:val="12"/>
                <w:color w:val="auto"/>
                <w:w w:val="89"/>
              </w:rPr>
              <w:t>(1,143)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251</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(2,896)</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(3,228)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5"/>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royalties</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540" w:type="dxa"/>
            <w:vAlign w:val="bottom"/>
          </w:tcPr>
          <w:p>
            <w:pPr>
              <w:spacing w:after="0" w:line="135" w:lineRule="exact"/>
              <w:rPr>
                <w:sz w:val="20"/>
                <w:szCs w:val="20"/>
                <w:color w:val="auto"/>
              </w:rPr>
            </w:pPr>
            <w:r>
              <w:rPr>
                <w:rFonts w:ascii="Arial" w:cs="Arial" w:eastAsia="Arial" w:hAnsi="Arial"/>
                <w:sz w:val="12"/>
                <w:szCs w:val="12"/>
                <w:color w:val="auto"/>
              </w:rPr>
              <w:t>Total</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(3,644)</w:t>
            </w:r>
          </w:p>
        </w:tc>
        <w:tc>
          <w:tcPr>
            <w:tcW w:w="60" w:type="dxa"/>
            <w:vAlign w:val="bottom"/>
          </w:tcPr>
          <w:p>
            <w:pPr>
              <w:spacing w:after="0"/>
              <w:rPr>
                <w:sz w:val="12"/>
                <w:szCs w:val="12"/>
                <w:color w:val="auto"/>
              </w:rPr>
            </w:pPr>
          </w:p>
        </w:tc>
        <w:tc>
          <w:tcPr>
            <w:tcW w:w="300" w:type="dxa"/>
            <w:vAlign w:val="bottom"/>
          </w:tcPr>
          <w:p>
            <w:pPr>
              <w:jc w:val="right"/>
              <w:ind w:right="159"/>
              <w:spacing w:after="0"/>
              <w:rPr>
                <w:sz w:val="20"/>
                <w:szCs w:val="20"/>
                <w:color w:val="auto"/>
              </w:rPr>
            </w:pPr>
            <w:r>
              <w:rPr>
                <w:rFonts w:ascii="Arial" w:cs="Arial" w:eastAsia="Arial" w:hAnsi="Arial"/>
                <w:sz w:val="12"/>
                <w:szCs w:val="12"/>
                <w:color w:val="auto"/>
                <w:w w:val="89"/>
              </w:rPr>
              <w:t>$</w:t>
            </w:r>
          </w:p>
        </w:tc>
        <w:tc>
          <w:tcPr>
            <w:tcW w:w="580" w:type="dxa"/>
            <w:vAlign w:val="bottom"/>
          </w:tcPr>
          <w:p>
            <w:pPr>
              <w:jc w:val="center"/>
              <w:ind w:left="141"/>
              <w:spacing w:after="0"/>
              <w:rPr>
                <w:sz w:val="20"/>
                <w:szCs w:val="20"/>
                <w:color w:val="auto"/>
              </w:rPr>
            </w:pPr>
            <w:r>
              <w:rPr>
                <w:rFonts w:ascii="Arial" w:cs="Arial" w:eastAsia="Arial" w:hAnsi="Arial"/>
                <w:sz w:val="12"/>
                <w:szCs w:val="12"/>
                <w:color w:val="auto"/>
                <w:w w:val="89"/>
              </w:rPr>
              <w:t>(3,429)</w:t>
            </w:r>
          </w:p>
        </w:tc>
        <w:tc>
          <w:tcPr>
            <w:tcW w:w="80" w:type="dxa"/>
            <w:vAlign w:val="bottom"/>
          </w:tcPr>
          <w:p>
            <w:pPr>
              <w:spacing w:after="0"/>
              <w:rPr>
                <w:sz w:val="12"/>
                <w:szCs w:val="12"/>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(215)</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2"/>
                <w:szCs w:val="12"/>
                <w:color w:val="auto"/>
              </w:rPr>
              <w:t>6 %  $</w:t>
            </w:r>
          </w:p>
        </w:tc>
        <w:tc>
          <w:tcPr>
            <w:tcW w:w="680" w:type="dxa"/>
            <w:vAlign w:val="bottom"/>
          </w:tcPr>
          <w:p>
            <w:pPr>
              <w:jc w:val="right"/>
              <w:spacing w:after="0"/>
              <w:rPr>
                <w:sz w:val="20"/>
                <w:szCs w:val="20"/>
                <w:color w:val="auto"/>
              </w:rPr>
            </w:pPr>
            <w:r>
              <w:rPr>
                <w:rFonts w:ascii="Arial" w:cs="Arial" w:eastAsia="Arial" w:hAnsi="Arial"/>
                <w:sz w:val="12"/>
                <w:szCs w:val="12"/>
                <w:color w:val="auto"/>
              </w:rPr>
              <w:t>(8,807)</w:t>
            </w:r>
          </w:p>
        </w:tc>
        <w:tc>
          <w:tcPr>
            <w:tcW w:w="8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(1,745)</w:t>
            </w:r>
          </w:p>
        </w:tc>
        <w:tc>
          <w:tcPr>
            <w:tcW w:w="8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(7,062)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right="140" w:firstLine="439"/>
        <w:spacing w:after="0" w:line="269" w:lineRule="auto"/>
        <w:rPr>
          <w:sz w:val="20"/>
          <w:szCs w:val="20"/>
          <w:color w:val="auto"/>
        </w:rPr>
      </w:pPr>
      <w:r>
        <w:rPr>
          <w:rFonts w:ascii="Arial" w:cs="Arial" w:eastAsia="Arial" w:hAnsi="Arial"/>
          <w:sz w:val="12"/>
          <w:szCs w:val="12"/>
          <w:color w:val="auto"/>
        </w:rPr>
        <w:t>Other expense was $3.6 million and $3.4 million for the three months ended September 30, 2021 and 2020, respectively. Other expense increased to $8.8 million for the nine months ended September 30, 2021 from $1.7 million for the same period in 2020 primarily due to lower interest income on marketable securities holdings in 2021 and gains generated from sales of our marketable securities in 2020. Specifically, in the second quarter of 2020, we sold securities at a gain of $3.6 million to finance the up-front cash payment of approximately $300 million for the USWM Acquisition.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Income Tax Expense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3"/>
          </w:tcPr>
          <w:p>
            <w:pPr>
              <w:jc w:val="center"/>
              <w:ind w:left="306"/>
              <w:spacing w:after="0"/>
              <w:rPr>
                <w:sz w:val="20"/>
                <w:szCs w:val="20"/>
                <w:color w:val="auto"/>
              </w:rPr>
            </w:pPr>
            <w:r>
              <w:rPr>
                <w:rFonts w:ascii="Arial" w:cs="Arial" w:eastAsia="Arial" w:hAnsi="Arial"/>
                <w:sz w:val="10"/>
                <w:szCs w:val="10"/>
                <w:b w:val="1"/>
                <w:bCs w:val="1"/>
                <w:color w:val="auto"/>
                <w:w w:val="87"/>
              </w:rPr>
              <w:t>Three Months ended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restart"/>
          </w:tcPr>
          <w:p>
            <w:pPr>
              <w:ind w:left="660"/>
              <w:spacing w:after="0"/>
              <w:rPr>
                <w:sz w:val="20"/>
                <w:szCs w:val="20"/>
                <w:color w:val="auto"/>
              </w:rPr>
            </w:pPr>
            <w:r>
              <w:rPr>
                <w:rFonts w:ascii="Arial" w:cs="Arial" w:eastAsia="Arial" w:hAnsi="Arial"/>
                <w:sz w:val="10"/>
                <w:szCs w:val="10"/>
                <w:b w:val="1"/>
                <w:bCs w:val="1"/>
                <w:color w:val="auto"/>
              </w:rPr>
              <w:t>Change</w:t>
            </w: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3"/>
          </w:tcPr>
          <w:p>
            <w:pPr>
              <w:jc w:val="center"/>
              <w:ind w:left="326"/>
              <w:spacing w:after="0"/>
              <w:rPr>
                <w:sz w:val="20"/>
                <w:szCs w:val="20"/>
                <w:color w:val="auto"/>
              </w:rPr>
            </w:pPr>
            <w:r>
              <w:rPr>
                <w:rFonts w:ascii="Arial" w:cs="Arial" w:eastAsia="Arial" w:hAnsi="Arial"/>
                <w:sz w:val="10"/>
                <w:szCs w:val="10"/>
                <w:b w:val="1"/>
                <w:bCs w:val="1"/>
                <w:color w:val="auto"/>
                <w:w w:val="86"/>
              </w:rPr>
              <w:t>Nine Months ended</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restart"/>
          </w:tcPr>
          <w:p>
            <w:pPr>
              <w:ind w:left="660"/>
              <w:spacing w:after="0"/>
              <w:rPr>
                <w:sz w:val="20"/>
                <w:szCs w:val="20"/>
                <w:color w:val="auto"/>
              </w:rPr>
            </w:pPr>
            <w:r>
              <w:rPr>
                <w:rFonts w:ascii="Arial" w:cs="Arial" w:eastAsia="Arial" w:hAnsi="Arial"/>
                <w:sz w:val="10"/>
                <w:szCs w:val="10"/>
                <w:b w:val="1"/>
                <w:bCs w:val="1"/>
                <w:color w:val="auto"/>
              </w:rPr>
              <w:t>Change</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ind w:left="306"/>
              <w:spacing w:after="0"/>
              <w:rPr>
                <w:sz w:val="20"/>
                <w:szCs w:val="20"/>
                <w:color w:val="auto"/>
              </w:rPr>
            </w:pPr>
            <w:r>
              <w:rPr>
                <w:rFonts w:ascii="Arial" w:cs="Arial" w:eastAsia="Arial" w:hAnsi="Arial"/>
                <w:sz w:val="10"/>
                <w:szCs w:val="10"/>
                <w:b w:val="1"/>
                <w:bCs w:val="1"/>
                <w:color w:val="auto"/>
                <w:w w:val="84"/>
              </w:rPr>
              <w:t>September 30,</w:t>
            </w: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ind w:left="326"/>
              <w:spacing w:after="0"/>
              <w:rPr>
                <w:sz w:val="20"/>
                <w:szCs w:val="20"/>
                <w:color w:val="auto"/>
              </w:rPr>
            </w:pPr>
            <w:r>
              <w:rPr>
                <w:rFonts w:ascii="Arial" w:cs="Arial" w:eastAsia="Arial" w:hAnsi="Arial"/>
                <w:sz w:val="10"/>
                <w:szCs w:val="10"/>
                <w:b w:val="1"/>
                <w:bCs w:val="1"/>
                <w:color w:val="auto"/>
                <w:w w:val="87"/>
              </w:rPr>
              <w:t>September 30,</w:t>
            </w: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366"/>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jc w:val="right"/>
              <w:ind w:right="363"/>
              <w:spacing w:after="0"/>
              <w:rPr>
                <w:sz w:val="20"/>
                <w:szCs w:val="20"/>
                <w:color w:val="auto"/>
              </w:rPr>
            </w:pPr>
            <w:r>
              <w:rPr>
                <w:rFonts w:ascii="Arial" w:cs="Arial" w:eastAsia="Arial" w:hAnsi="Arial"/>
                <w:sz w:val="10"/>
                <w:szCs w:val="10"/>
                <w:b w:val="1"/>
                <w:bCs w:val="1"/>
                <w:color w:val="auto"/>
                <w:w w:val="80"/>
              </w:rPr>
              <w:t>2020</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140"/>
              <w:spacing w:after="0"/>
              <w:rPr>
                <w:sz w:val="20"/>
                <w:szCs w:val="20"/>
                <w:color w:val="auto"/>
              </w:rPr>
            </w:pPr>
            <w:r>
              <w:rPr>
                <w:rFonts w:ascii="Arial" w:cs="Arial" w:eastAsia="Arial" w:hAnsi="Arial"/>
                <w:sz w:val="10"/>
                <w:szCs w:val="10"/>
                <w:b w:val="1"/>
                <w:bCs w:val="1"/>
                <w:color w:val="auto"/>
              </w:rPr>
              <w:t>Dollar</w:t>
            </w:r>
          </w:p>
        </w:tc>
        <w:tc>
          <w:tcPr>
            <w:tcW w:w="440" w:type="dxa"/>
            <w:vAlign w:val="bottom"/>
          </w:tcPr>
          <w:p>
            <w:pPr>
              <w:ind w:left="100"/>
              <w:spacing w:after="0"/>
              <w:rPr>
                <w:sz w:val="20"/>
                <w:szCs w:val="20"/>
                <w:color w:val="auto"/>
              </w:rPr>
            </w:pPr>
            <w:r>
              <w:rPr>
                <w:rFonts w:ascii="Arial" w:cs="Arial" w:eastAsia="Arial" w:hAnsi="Arial"/>
                <w:sz w:val="10"/>
                <w:szCs w:val="10"/>
                <w:b w:val="1"/>
                <w:bCs w:val="1"/>
                <w:color w:val="auto"/>
                <w:w w:val="87"/>
              </w:rPr>
              <w:t>Percent</w:t>
            </w:r>
          </w:p>
        </w:tc>
        <w:tc>
          <w:tcPr>
            <w:tcW w:w="580" w:type="dxa"/>
            <w:vAlign w:val="bottom"/>
          </w:tcPr>
          <w:p>
            <w:pPr>
              <w:spacing w:after="0"/>
              <w:rPr>
                <w:sz w:val="10"/>
                <w:szCs w:val="10"/>
                <w:color w:val="auto"/>
              </w:rPr>
            </w:pPr>
          </w:p>
        </w:tc>
        <w:tc>
          <w:tcPr>
            <w:tcW w:w="780" w:type="dxa"/>
            <w:vAlign w:val="bottom"/>
          </w:tcPr>
          <w:p>
            <w:pPr>
              <w:jc w:val="right"/>
              <w:ind w:right="36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right"/>
              <w:ind w:right="363"/>
              <w:spacing w:after="0"/>
              <w:rPr>
                <w:sz w:val="20"/>
                <w:szCs w:val="20"/>
                <w:color w:val="auto"/>
              </w:rPr>
            </w:pPr>
            <w:r>
              <w:rPr>
                <w:rFonts w:ascii="Arial" w:cs="Arial" w:eastAsia="Arial" w:hAnsi="Arial"/>
                <w:sz w:val="10"/>
                <w:szCs w:val="10"/>
                <w:b w:val="1"/>
                <w:bCs w:val="1"/>
                <w:color w:val="auto"/>
                <w:w w:val="89"/>
              </w:rPr>
              <w:t>2020</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ind w:left="140"/>
              <w:spacing w:after="0"/>
              <w:rPr>
                <w:sz w:val="20"/>
                <w:szCs w:val="20"/>
                <w:color w:val="auto"/>
              </w:rPr>
            </w:pPr>
            <w:r>
              <w:rPr>
                <w:rFonts w:ascii="Arial" w:cs="Arial" w:eastAsia="Arial" w:hAnsi="Arial"/>
                <w:sz w:val="10"/>
                <w:szCs w:val="10"/>
                <w:b w:val="1"/>
                <w:bCs w:val="1"/>
                <w:color w:val="auto"/>
              </w:rPr>
              <w:t>Dollar</w:t>
            </w:r>
          </w:p>
        </w:tc>
        <w:tc>
          <w:tcPr>
            <w:tcW w:w="760" w:type="dxa"/>
            <w:vAlign w:val="bottom"/>
          </w:tcPr>
          <w:p>
            <w:pPr>
              <w:jc w:val="right"/>
              <w:ind w:right="305"/>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46"/>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2"/>
                <w:szCs w:val="12"/>
                <w:color w:val="auto"/>
              </w:rPr>
              <w:t>7,398</w:t>
            </w:r>
          </w:p>
        </w:tc>
        <w:tc>
          <w:tcPr>
            <w:tcW w:w="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12,714</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(5,316)</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90"/>
              </w:rPr>
              <w:t>(42)% $</w:t>
            </w:r>
          </w:p>
        </w:tc>
        <w:tc>
          <w:tcPr>
            <w:tcW w:w="78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2"/>
                <w:szCs w:val="12"/>
                <w:color w:val="auto"/>
              </w:rPr>
              <w:t>20,142</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32,773</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(12,631)</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55"/>
        </w:trPr>
        <w:tc>
          <w:tcPr>
            <w:tcW w:w="2840" w:type="dxa"/>
            <w:vAlign w:val="bottom"/>
          </w:tcPr>
          <w:p>
            <w:pPr>
              <w:spacing w:after="0"/>
              <w:rPr>
                <w:sz w:val="20"/>
                <w:szCs w:val="20"/>
                <w:color w:val="auto"/>
              </w:rPr>
            </w:pPr>
            <w:r>
              <w:rPr>
                <w:rFonts w:ascii="Arial" w:cs="Arial" w:eastAsia="Arial" w:hAnsi="Arial"/>
                <w:sz w:val="12"/>
                <w:szCs w:val="12"/>
                <w:color w:val="auto"/>
              </w:rPr>
              <w:t>Effective tax rate</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25.5 %</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24.1 %</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28.3 %</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25.4 %</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60" w:firstLine="439"/>
        <w:spacing w:after="0" w:line="283" w:lineRule="auto"/>
        <w:rPr>
          <w:sz w:val="20"/>
          <w:szCs w:val="20"/>
          <w:color w:val="auto"/>
        </w:rPr>
      </w:pPr>
      <w:r>
        <w:rPr>
          <w:rFonts w:ascii="Arial" w:cs="Arial" w:eastAsia="Arial" w:hAnsi="Arial"/>
          <w:sz w:val="12"/>
          <w:szCs w:val="12"/>
          <w:color w:val="auto"/>
        </w:rPr>
        <w:t>Income tax expense was $7.4 million and $12.7 million for the three months ended September 30, 2021 and 2020, respectively. Income tax expense was $20.1 million and $32.8 million for the nine months ended September 30, 2021 and 2020 respectively. The decreases in both periods were mainly due to lower earnings before taxes in 2021.</w:t>
      </w:r>
    </w:p>
    <w:p>
      <w:pPr>
        <w:spacing w:after="0" w:line="86" w:lineRule="exact"/>
        <w:rPr>
          <w:sz w:val="20"/>
          <w:szCs w:val="20"/>
          <w:color w:val="auto"/>
        </w:rPr>
      </w:pPr>
    </w:p>
    <w:p>
      <w:pPr>
        <w:ind w:right="160" w:firstLine="439"/>
        <w:spacing w:after="0" w:line="253" w:lineRule="auto"/>
        <w:rPr>
          <w:sz w:val="20"/>
          <w:szCs w:val="20"/>
          <w:color w:val="auto"/>
        </w:rPr>
      </w:pPr>
      <w:r>
        <w:rPr>
          <w:rFonts w:ascii="Arial" w:cs="Arial" w:eastAsia="Arial" w:hAnsi="Arial"/>
          <w:sz w:val="12"/>
          <w:szCs w:val="12"/>
          <w:color w:val="auto"/>
        </w:rPr>
        <w:t>The effective income tax rate was 25.5% and 24.1% for the three months ended September 30, 2021 and 2020, respectively. The effective income tax rate was lower in 2020 primarily due to a greater research and development credit benefit recognized in 2020. The effective income tax rate was 28.3% and 25.4% for the nine months ended September 30, 2021 and 2020, respectively. The effective income tax rate increase was mainly due to changes in the effective state tax rates as a result of the transfer of workforce between legal entities in the first quarter of 2021.</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31" w:lineRule="exact"/>
        <w:rPr>
          <w:sz w:val="20"/>
          <w:szCs w:val="20"/>
          <w:color w:val="auto"/>
        </w:rPr>
      </w:pPr>
    </w:p>
    <w:p>
      <w:pPr>
        <w:ind w:right="40" w:firstLine="439"/>
        <w:spacing w:after="0" w:line="331" w:lineRule="auto"/>
        <w:rPr>
          <w:sz w:val="20"/>
          <w:szCs w:val="20"/>
          <w:color w:val="auto"/>
        </w:rPr>
      </w:pPr>
      <w:r>
        <w:rPr>
          <w:rFonts w:ascii="Arial" w:cs="Arial" w:eastAsia="Arial" w:hAnsi="Arial"/>
          <w:sz w:val="11"/>
          <w:szCs w:val="11"/>
          <w:color w:val="auto"/>
        </w:rPr>
        <w:t>We have financed our operations primarily with cash generated from product sales, supplemented by cash generated by revenue from royalty and licensing arrangements, as well as proceeds from the sale of equity and debt securities. Continued cash generation is highly dependent on the continued commercial success of our commercial products as well as the potential commercial success of our product candidates, if approved by the FDA.</w:t>
      </w:r>
    </w:p>
    <w:p>
      <w:pPr>
        <w:spacing w:after="0" w:line="63" w:lineRule="exact"/>
        <w:rPr>
          <w:sz w:val="20"/>
          <w:szCs w:val="20"/>
          <w:color w:val="auto"/>
        </w:rPr>
      </w:pPr>
    </w:p>
    <w:p>
      <w:pPr>
        <w:jc w:val="both"/>
        <w:ind w:right="280" w:firstLine="439"/>
        <w:spacing w:after="0" w:line="269" w:lineRule="auto"/>
        <w:rPr>
          <w:sz w:val="20"/>
          <w:szCs w:val="20"/>
          <w:color w:val="auto"/>
        </w:rPr>
      </w:pPr>
      <w:r>
        <w:rPr>
          <w:rFonts w:ascii="Arial" w:cs="Arial" w:eastAsia="Arial" w:hAnsi="Arial"/>
          <w:sz w:val="12"/>
          <w:szCs w:val="12"/>
          <w:color w:val="auto"/>
        </w:rPr>
        <w:t>While we expect continued profitability in future years, we anticipate there may be significant variability from year to year in the level of our profits particularly due to the commercial launch of Qelbree in May 2021, future commercial launch of Qelbree for treatment of ADHD in adults and SPN-830 (Apomorphine Infusion Pump), if both are approved by the FDA, continued market and payor pressures for our commercial products and the likely unfavorable impact of the upcoming loss of exclusivity for Trokendi XR in January 2023, or sooner under certain conditions.</w:t>
      </w:r>
    </w:p>
    <w:p>
      <w:pPr>
        <w:spacing w:after="0" w:line="103" w:lineRule="exact"/>
        <w:rPr>
          <w:sz w:val="20"/>
          <w:szCs w:val="20"/>
          <w:color w:val="auto"/>
        </w:rPr>
      </w:pPr>
    </w:p>
    <w:p>
      <w:pPr>
        <w:ind w:right="260" w:firstLine="439"/>
        <w:spacing w:after="0" w:line="264" w:lineRule="auto"/>
        <w:rPr>
          <w:sz w:val="20"/>
          <w:szCs w:val="20"/>
          <w:color w:val="auto"/>
        </w:rPr>
      </w:pPr>
      <w:r>
        <w:rPr>
          <w:rFonts w:ascii="Arial" w:cs="Arial" w:eastAsia="Arial" w:hAnsi="Arial"/>
          <w:sz w:val="12"/>
          <w:szCs w:val="12"/>
          <w:color w:val="auto"/>
        </w:rPr>
        <w:t>We believe our existing cash and cash equivalents, marketable securities, and cash received from product sales will be sufficient to finance ongoing operations, develop and launch our new products, and fund label expansions for existing products. To continue to grow our business over the long-term, we plan to commit substantial resources to: product development and clinical trials of product candidates; business development, including acquisition and product in-licensing; and supportive functions such as compliance, finance, management of our intellectual property portfolio, information technology systems, and personnel. In each case, spending would be commensurate with the growth and needs of the business.</w:t>
      </w:r>
    </w:p>
    <w:p>
      <w:pPr>
        <w:spacing w:after="0" w:line="97" w:lineRule="exact"/>
        <w:rPr>
          <w:sz w:val="20"/>
          <w:szCs w:val="20"/>
          <w:color w:val="auto"/>
        </w:rPr>
      </w:pPr>
    </w:p>
    <w:p>
      <w:pPr>
        <w:ind w:right="600" w:firstLine="439"/>
        <w:spacing w:after="0" w:line="283" w:lineRule="auto"/>
        <w:rPr>
          <w:sz w:val="20"/>
          <w:szCs w:val="20"/>
          <w:color w:val="auto"/>
        </w:rPr>
      </w:pPr>
      <w:r>
        <w:rPr>
          <w:rFonts w:ascii="Arial" w:cs="Arial" w:eastAsia="Arial" w:hAnsi="Arial"/>
          <w:sz w:val="12"/>
          <w:szCs w:val="12"/>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6" w:name="page37"/>
    <w:bookmarkEnd w:id="3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480"/>
        <w:spacing w:after="0" w:line="283" w:lineRule="auto"/>
        <w:rPr>
          <w:sz w:val="20"/>
          <w:szCs w:val="20"/>
          <w:color w:val="auto"/>
        </w:rPr>
      </w:pPr>
      <w:r>
        <w:rPr>
          <w:rFonts w:ascii="Arial" w:cs="Arial" w:eastAsia="Arial" w:hAnsi="Arial"/>
          <w:sz w:val="12"/>
          <w:szCs w:val="12"/>
          <w:color w:val="auto"/>
        </w:rPr>
        <w:t>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Financial Condition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Cash and cash equivalents, marketable securities, and long term marketable securities as of the periods presented below, are as follows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September 30,</w:t>
            </w:r>
          </w:p>
        </w:tc>
        <w:tc>
          <w:tcPr>
            <w:tcW w:w="240" w:type="dxa"/>
            <w:vAlign w:val="bottom"/>
          </w:tcPr>
          <w:p>
            <w:pPr>
              <w:spacing w:after="0"/>
              <w:rPr>
                <w:sz w:val="12"/>
                <w:szCs w:val="12"/>
                <w:color w:val="auto"/>
              </w:rPr>
            </w:pPr>
          </w:p>
        </w:tc>
        <w:tc>
          <w:tcPr>
            <w:tcW w:w="126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w:t>
            </w:r>
          </w:p>
        </w:tc>
        <w:tc>
          <w:tcPr>
            <w:tcW w:w="3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980"/>
              <w:spacing w:after="0"/>
              <w:rPr>
                <w:sz w:val="20"/>
                <w:szCs w:val="20"/>
                <w:color w:val="auto"/>
              </w:rPr>
            </w:pPr>
            <w:r>
              <w:rPr>
                <w:rFonts w:ascii="Arial" w:cs="Arial" w:eastAsia="Arial" w:hAnsi="Arial"/>
                <w:sz w:val="11"/>
                <w:szCs w:val="11"/>
                <w:b w:val="1"/>
                <w:bCs w:val="1"/>
                <w:color w:val="auto"/>
              </w:rPr>
              <w:t>Change</w:t>
            </w:r>
          </w:p>
        </w:tc>
        <w:tc>
          <w:tcPr>
            <w:tcW w:w="1080" w:type="dxa"/>
            <w:vAlign w:val="bottom"/>
            <w:tcBorders>
              <w:bottom w:val="single" w:sz="8" w:color="auto"/>
            </w:tcBorders>
          </w:tcPr>
          <w:p>
            <w:pPr>
              <w:spacing w:after="0"/>
              <w:rPr>
                <w:sz w:val="12"/>
                <w:szCs w:val="12"/>
                <w:color w:val="auto"/>
              </w:rPr>
            </w:pPr>
          </w:p>
        </w:tc>
      </w:tr>
      <w:tr>
        <w:trPr>
          <w:trHeight w:val="138"/>
        </w:trPr>
        <w:tc>
          <w:tcPr>
            <w:tcW w:w="5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ind w:right="54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541"/>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3"/>
          </w:tcPr>
          <w:p>
            <w:pPr>
              <w:ind w:left="220"/>
              <w:spacing w:after="0"/>
              <w:rPr>
                <w:sz w:val="20"/>
                <w:szCs w:val="20"/>
                <w:color w:val="auto"/>
              </w:rPr>
            </w:pPr>
            <w:r>
              <w:rPr>
                <w:rFonts w:ascii="Arial" w:cs="Arial" w:eastAsia="Arial" w:hAnsi="Arial"/>
                <w:sz w:val="11"/>
                <w:szCs w:val="11"/>
                <w:b w:val="1"/>
                <w:bCs w:val="1"/>
                <w:color w:val="auto"/>
              </w:rPr>
              <w:t>Amount</w:t>
            </w:r>
          </w:p>
        </w:tc>
        <w:tc>
          <w:tcPr>
            <w:tcW w:w="1080" w:type="dxa"/>
            <w:vAlign w:val="bottom"/>
          </w:tcPr>
          <w:p>
            <w:pPr>
              <w:jc w:val="right"/>
              <w:ind w:right="480"/>
              <w:spacing w:after="0"/>
              <w:rPr>
                <w:sz w:val="20"/>
                <w:szCs w:val="20"/>
                <w:color w:val="auto"/>
              </w:rPr>
            </w:pPr>
            <w:r>
              <w:rPr>
                <w:rFonts w:ascii="Arial" w:cs="Arial" w:eastAsia="Arial" w:hAnsi="Arial"/>
                <w:sz w:val="11"/>
                <w:szCs w:val="11"/>
                <w:b w:val="1"/>
                <w:bCs w:val="1"/>
                <w:color w:val="auto"/>
              </w:rPr>
              <w:t>Percent</w:t>
            </w:r>
          </w:p>
        </w:tc>
      </w:tr>
      <w:tr>
        <w:trPr>
          <w:trHeight w:val="147"/>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215,281</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288,640</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CCEEFF"/>
          </w:tcPr>
          <w:p>
            <w:pPr>
              <w:jc w:val="center"/>
              <w:ind w:left="601"/>
              <w:spacing w:after="0"/>
              <w:rPr>
                <w:sz w:val="20"/>
                <w:szCs w:val="20"/>
                <w:color w:val="auto"/>
              </w:rPr>
            </w:pPr>
            <w:r>
              <w:rPr>
                <w:rFonts w:ascii="Arial" w:cs="Arial" w:eastAsia="Arial" w:hAnsi="Arial"/>
                <w:sz w:val="12"/>
                <w:szCs w:val="12"/>
                <w:color w:val="auto"/>
                <w:w w:val="93"/>
              </w:rPr>
              <w:t>(73,359)</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rPr>
              <w:t>(25)%</w:t>
            </w:r>
          </w:p>
        </w:tc>
      </w:tr>
      <w:tr>
        <w:trPr>
          <w:trHeight w:val="155"/>
        </w:trPr>
        <w:tc>
          <w:tcPr>
            <w:tcW w:w="5380" w:type="dxa"/>
            <w:vAlign w:val="bottom"/>
          </w:tcPr>
          <w:p>
            <w:pPr>
              <w:spacing w:after="0"/>
              <w:rPr>
                <w:sz w:val="20"/>
                <w:szCs w:val="20"/>
                <w:color w:val="auto"/>
              </w:rPr>
            </w:pPr>
            <w:r>
              <w:rPr>
                <w:rFonts w:ascii="Arial" w:cs="Arial" w:eastAsia="Arial" w:hAnsi="Arial"/>
                <w:sz w:val="12"/>
                <w:szCs w:val="12"/>
                <w:color w:val="auto"/>
              </w:rPr>
              <w:t>Marketable securities</w:t>
            </w:r>
          </w:p>
        </w:tc>
        <w:tc>
          <w:tcPr>
            <w:tcW w:w="22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228,571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133,893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left="601"/>
              <w:spacing w:after="0"/>
              <w:rPr>
                <w:sz w:val="20"/>
                <w:szCs w:val="20"/>
                <w:color w:val="auto"/>
              </w:rPr>
            </w:pPr>
            <w:r>
              <w:rPr>
                <w:rFonts w:ascii="Arial" w:cs="Arial" w:eastAsia="Arial" w:hAnsi="Arial"/>
                <w:sz w:val="12"/>
                <w:szCs w:val="12"/>
                <w:color w:val="auto"/>
                <w:w w:val="92"/>
              </w:rPr>
              <w:t>94,678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40"/>
              <w:spacing w:after="0"/>
              <w:rPr>
                <w:sz w:val="20"/>
                <w:szCs w:val="20"/>
                <w:color w:val="auto"/>
              </w:rPr>
            </w:pPr>
            <w:r>
              <w:rPr>
                <w:rFonts w:ascii="Arial" w:cs="Arial" w:eastAsia="Arial" w:hAnsi="Arial"/>
                <w:sz w:val="12"/>
                <w:szCs w:val="12"/>
                <w:color w:val="auto"/>
              </w:rPr>
              <w:t>71%</w:t>
            </w:r>
          </w:p>
        </w:tc>
      </w:tr>
      <w:tr>
        <w:trPr>
          <w:trHeight w:val="156"/>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Long term marketable securities</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405,479</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350,359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center"/>
              <w:ind w:left="601"/>
              <w:spacing w:after="0"/>
              <w:rPr>
                <w:sz w:val="20"/>
                <w:szCs w:val="20"/>
                <w:color w:val="auto"/>
              </w:rPr>
            </w:pPr>
            <w:r>
              <w:rPr>
                <w:rFonts w:ascii="Arial" w:cs="Arial" w:eastAsia="Arial" w:hAnsi="Arial"/>
                <w:sz w:val="12"/>
                <w:szCs w:val="12"/>
                <w:color w:val="auto"/>
                <w:w w:val="92"/>
              </w:rPr>
              <w:t>55,120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16%</w:t>
            </w:r>
          </w:p>
        </w:tc>
      </w:tr>
      <w:tr>
        <w:trPr>
          <w:trHeight w:val="145"/>
        </w:trPr>
        <w:tc>
          <w:tcPr>
            <w:tcW w:w="5380" w:type="dxa"/>
            <w:vAlign w:val="bottom"/>
          </w:tcPr>
          <w:p>
            <w:pPr>
              <w:spacing w:after="0"/>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849,331</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772,892</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center"/>
              <w:ind w:left="601"/>
              <w:spacing w:after="0"/>
              <w:rPr>
                <w:sz w:val="20"/>
                <w:szCs w:val="20"/>
                <w:color w:val="auto"/>
              </w:rPr>
            </w:pPr>
            <w:r>
              <w:rPr>
                <w:rFonts w:ascii="Arial" w:cs="Arial" w:eastAsia="Arial" w:hAnsi="Arial"/>
                <w:sz w:val="12"/>
                <w:szCs w:val="12"/>
                <w:color w:val="auto"/>
                <w:w w:val="92"/>
              </w:rPr>
              <w:t>76,439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40"/>
              <w:spacing w:after="0"/>
              <w:rPr>
                <w:sz w:val="20"/>
                <w:szCs w:val="20"/>
                <w:color w:val="auto"/>
              </w:rPr>
            </w:pPr>
            <w:r>
              <w:rPr>
                <w:rFonts w:ascii="Arial" w:cs="Arial" w:eastAsia="Arial" w:hAnsi="Arial"/>
                <w:sz w:val="12"/>
                <w:szCs w:val="12"/>
                <w:color w:val="auto"/>
              </w:rPr>
              <w:t>10%</w:t>
            </w: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7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Total cash and cash equivalents, marketable securities and long term marketable securities increased by $76.4 million in the first nine months of 2021, primarily due to cash generated from ongoing operations.</w:t>
      </w:r>
    </w:p>
    <w:p>
      <w:pPr>
        <w:spacing w:after="0" w:line="148" w:lineRule="exact"/>
        <w:rPr>
          <w:sz w:val="20"/>
          <w:szCs w:val="20"/>
          <w:color w:val="auto"/>
        </w:rPr>
      </w:pPr>
    </w:p>
    <w:p>
      <w:pPr>
        <w:ind w:right="120" w:firstLine="439"/>
        <w:spacing w:after="0" w:line="304" w:lineRule="auto"/>
        <w:rPr>
          <w:sz w:val="20"/>
          <w:szCs w:val="20"/>
          <w:color w:val="auto"/>
        </w:rPr>
      </w:pPr>
      <w:r>
        <w:rPr>
          <w:rFonts w:ascii="Arial" w:cs="Arial" w:eastAsia="Arial" w:hAnsi="Arial"/>
          <w:sz w:val="11"/>
          <w:szCs w:val="11"/>
          <w:color w:val="auto"/>
        </w:rPr>
        <w:t xml:space="preserve">As of September 30, 2021 and December 31, 2020, the outstanding principal on our 0.625% Convertible Senior Notes Due 2023 (2023 Notes) was $402.5 million. No 2023 Notes have been converted as of September 30, 2021. There were no changes to the separate convertible note hedge transactions (collectively, the Convertible Note Hedge Transactions) and separate warrant transactions (the Warrant Transactions). Refer to Part I, Item 1, Unaudited Condensed Financial Statements, Note 8, </w:t>
      </w:r>
      <w:r>
        <w:rPr>
          <w:rFonts w:ascii="Arial" w:cs="Arial" w:eastAsia="Arial" w:hAnsi="Arial"/>
          <w:sz w:val="11"/>
          <w:szCs w:val="11"/>
          <w:i w:val="1"/>
          <w:iCs w:val="1"/>
          <w:color w:val="auto"/>
        </w:rPr>
        <w:t>Convertible Senior Notes Due 2023,</w:t>
      </w:r>
      <w:r>
        <w:rPr>
          <w:rFonts w:ascii="Arial" w:cs="Arial" w:eastAsia="Arial" w:hAnsi="Arial"/>
          <w:sz w:val="11"/>
          <w:szCs w:val="11"/>
          <w:color w:val="auto"/>
        </w:rPr>
        <w:t xml:space="preserve"> in the Notes to the Condensed Consolidated Financial Statements, for further discussion of the 2023 Notes and our other indebtedness.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Summary of Cash Flows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summarizes the major sources and uses of cash for the periods set forth below (dollars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4"/>
          </w:tcPr>
          <w:p>
            <w:pPr>
              <w:jc w:val="right"/>
              <w:ind w:right="119"/>
              <w:spacing w:after="0"/>
              <w:rPr>
                <w:sz w:val="20"/>
                <w:szCs w:val="20"/>
                <w:color w:val="auto"/>
              </w:rPr>
            </w:pPr>
            <w:r>
              <w:rPr>
                <w:rFonts w:ascii="Arial" w:cs="Arial" w:eastAsia="Arial" w:hAnsi="Arial"/>
                <w:sz w:val="10"/>
                <w:szCs w:val="10"/>
                <w:b w:val="1"/>
                <w:bCs w:val="1"/>
                <w:color w:val="auto"/>
              </w:rPr>
              <w:t>Nine Months ended</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vMerge w:val="restart"/>
          </w:tcPr>
          <w:p>
            <w:pPr>
              <w:jc w:val="right"/>
              <w:ind w:right="403"/>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27"/>
        </w:trPr>
        <w:tc>
          <w:tcPr>
            <w:tcW w:w="61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0"/>
                <w:szCs w:val="10"/>
                <w:b w:val="1"/>
                <w:bCs w:val="1"/>
                <w:color w:val="auto"/>
                <w:w w:val="99"/>
              </w:rPr>
              <w:t>September 30,</w:t>
            </w: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1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7"/>
        </w:trPr>
        <w:tc>
          <w:tcPr>
            <w:tcW w:w="6140" w:type="dxa"/>
            <w:vAlign w:val="bottom"/>
            <w:shd w:val="clear" w:color="auto" w:fill="CCEEFF"/>
          </w:tcPr>
          <w:p>
            <w:pPr>
              <w:ind w:left="440"/>
              <w:spacing w:after="0" w:line="137" w:lineRule="exact"/>
              <w:rPr>
                <w:sz w:val="20"/>
                <w:szCs w:val="20"/>
                <w:color w:val="auto"/>
              </w:rPr>
            </w:pPr>
            <w:r>
              <w:rPr>
                <w:rFonts w:ascii="Arial" w:cs="Arial" w:eastAsia="Arial" w:hAnsi="Arial"/>
                <w:sz w:val="12"/>
                <w:szCs w:val="12"/>
                <w:color w:val="auto"/>
              </w:rPr>
              <w:t>Net cash provided by (used in):</w:t>
            </w:r>
          </w:p>
        </w:tc>
        <w:tc>
          <w:tcPr>
            <w:tcW w:w="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140" w:type="dxa"/>
            <w:vAlign w:val="bottom"/>
          </w:tcPr>
          <w:p>
            <w:pPr>
              <w:ind w:left="520"/>
              <w:spacing w:after="0"/>
              <w:rPr>
                <w:sz w:val="20"/>
                <w:szCs w:val="20"/>
                <w:color w:val="auto"/>
              </w:rPr>
            </w:pPr>
            <w:r>
              <w:rPr>
                <w:rFonts w:ascii="Arial" w:cs="Arial" w:eastAsia="Arial" w:hAnsi="Arial"/>
                <w:sz w:val="12"/>
                <w:szCs w:val="12"/>
                <w:color w:val="auto"/>
              </w:rPr>
              <w:t>Operating activities</w:t>
            </w:r>
          </w:p>
        </w:tc>
        <w:tc>
          <w:tcPr>
            <w:tcW w:w="7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78,364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106,466</w:t>
            </w:r>
          </w:p>
        </w:tc>
        <w:tc>
          <w:tcPr>
            <w:tcW w:w="100" w:type="dxa"/>
            <w:vAlign w:val="bottom"/>
          </w:tcPr>
          <w:p>
            <w:pPr>
              <w:spacing w:after="0"/>
              <w:rPr>
                <w:sz w:val="13"/>
                <w:szCs w:val="13"/>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(28,102)</w:t>
            </w:r>
          </w:p>
        </w:tc>
        <w:tc>
          <w:tcPr>
            <w:tcW w:w="0" w:type="dxa"/>
            <w:vAlign w:val="bottom"/>
          </w:tcPr>
          <w:p>
            <w:pPr>
              <w:spacing w:after="0"/>
              <w:rPr>
                <w:sz w:val="1"/>
                <w:szCs w:val="1"/>
                <w:color w:val="auto"/>
              </w:rPr>
            </w:pPr>
          </w:p>
        </w:tc>
      </w:tr>
      <w:tr>
        <w:trPr>
          <w:trHeight w:val="156"/>
        </w:trPr>
        <w:tc>
          <w:tcPr>
            <w:tcW w:w="6140" w:type="dxa"/>
            <w:vAlign w:val="bottom"/>
            <w:shd w:val="clear" w:color="auto" w:fill="CCEEFF"/>
          </w:tcPr>
          <w:p>
            <w:pPr>
              <w:ind w:left="520"/>
              <w:spacing w:after="0"/>
              <w:rPr>
                <w:sz w:val="20"/>
                <w:szCs w:val="20"/>
                <w:color w:val="auto"/>
              </w:rPr>
            </w:pPr>
            <w:r>
              <w:rPr>
                <w:rFonts w:ascii="Arial" w:cs="Arial" w:eastAsia="Arial" w:hAnsi="Arial"/>
                <w:sz w:val="12"/>
                <w:szCs w:val="12"/>
                <w:color w:val="auto"/>
              </w:rPr>
              <w:t>Investing activities</w:t>
            </w:r>
          </w:p>
        </w:tc>
        <w:tc>
          <w:tcPr>
            <w:tcW w:w="7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(158,043)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(84,044)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(73,999)</w:t>
            </w:r>
          </w:p>
        </w:tc>
        <w:tc>
          <w:tcPr>
            <w:tcW w:w="0" w:type="dxa"/>
            <w:vAlign w:val="bottom"/>
          </w:tcPr>
          <w:p>
            <w:pPr>
              <w:spacing w:after="0"/>
              <w:rPr>
                <w:sz w:val="1"/>
                <w:szCs w:val="1"/>
                <w:color w:val="auto"/>
              </w:rPr>
            </w:pPr>
          </w:p>
        </w:tc>
      </w:tr>
      <w:tr>
        <w:trPr>
          <w:trHeight w:val="155"/>
        </w:trPr>
        <w:tc>
          <w:tcPr>
            <w:tcW w:w="614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Financing activities</w:t>
            </w:r>
          </w:p>
        </w:tc>
        <w:tc>
          <w:tcPr>
            <w:tcW w:w="7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5,830</w:t>
            </w:r>
          </w:p>
        </w:tc>
        <w:tc>
          <w:tcPr>
            <w:tcW w:w="0" w:type="dxa"/>
            <w:vAlign w:val="bottom"/>
          </w:tcPr>
          <w:p>
            <w:pPr>
              <w:spacing w:after="0"/>
              <w:rPr>
                <w:sz w:val="1"/>
                <w:szCs w:val="1"/>
                <w:color w:val="auto"/>
              </w:rPr>
            </w:pPr>
          </w:p>
        </w:tc>
      </w:tr>
      <w:tr>
        <w:trPr>
          <w:trHeight w:val="162"/>
        </w:trPr>
        <w:tc>
          <w:tcPr>
            <w:tcW w:w="6140" w:type="dxa"/>
            <w:vAlign w:val="bottom"/>
            <w:tcBorders>
              <w:bottom w:val="single" w:sz="8" w:color="CCEEFF"/>
            </w:tcBorders>
            <w:shd w:val="clear" w:color="auto" w:fill="CCEEFF"/>
          </w:tcPr>
          <w:p>
            <w:pPr>
              <w:ind w:left="440"/>
              <w:spacing w:after="0" w:line="136" w:lineRule="exact"/>
              <w:rPr>
                <w:sz w:val="20"/>
                <w:szCs w:val="20"/>
                <w:color w:val="auto"/>
              </w:rPr>
            </w:pPr>
            <w:r>
              <w:rPr>
                <w:rFonts w:ascii="Arial" w:cs="Arial" w:eastAsia="Arial" w:hAnsi="Arial"/>
                <w:sz w:val="12"/>
                <w:szCs w:val="12"/>
                <w:color w:val="auto"/>
              </w:rPr>
              <w:t>Net change in cash and cash equivalents</w:t>
            </w:r>
          </w:p>
        </w:tc>
        <w:tc>
          <w:tcPr>
            <w:tcW w:w="7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(73,359)</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22,912</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(96,271)</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Activities</w:t>
      </w:r>
    </w:p>
    <w:p>
      <w:pPr>
        <w:spacing w:after="0" w:line="137" w:lineRule="exact"/>
        <w:rPr>
          <w:sz w:val="20"/>
          <w:szCs w:val="20"/>
          <w:color w:val="auto"/>
        </w:rPr>
      </w:pPr>
    </w:p>
    <w:p>
      <w:pPr>
        <w:ind w:right="480" w:firstLine="439"/>
        <w:spacing w:after="0" w:line="283" w:lineRule="auto"/>
        <w:rPr>
          <w:sz w:val="20"/>
          <w:szCs w:val="20"/>
          <w:color w:val="auto"/>
        </w:rPr>
      </w:pPr>
      <w:r>
        <w:rPr>
          <w:rFonts w:ascii="Arial" w:cs="Arial" w:eastAsia="Arial" w:hAnsi="Arial"/>
          <w:sz w:val="12"/>
          <w:szCs w:val="12"/>
          <w:color w:val="auto"/>
        </w:rPr>
        <w:t>Net cash provided by operating activities was $78.4 million and $106.5 million for the nine months ended September 30, 2021, and 2020, respectively. The decrease in cash flows provided by operating activities is primarily due to a decrease in earnings, as well as changes in working capital, which reflects the timing impacts of the following:</w:t>
      </w:r>
    </w:p>
    <w:p>
      <w:pPr>
        <w:spacing w:after="0" w:line="86" w:lineRule="exact"/>
        <w:rPr>
          <w:sz w:val="20"/>
          <w:szCs w:val="20"/>
          <w:color w:val="auto"/>
        </w:rPr>
      </w:pPr>
    </w:p>
    <w:p>
      <w:pPr>
        <w:ind w:left="420" w:hanging="207"/>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cash collections on receivables and settlement of payables;</w:t>
      </w:r>
    </w:p>
    <w:p>
      <w:pPr>
        <w:spacing w:after="0" w:line="127" w:lineRule="exact"/>
        <w:rPr>
          <w:rFonts w:ascii="Arial" w:cs="Arial" w:eastAsia="Arial" w:hAnsi="Arial"/>
          <w:sz w:val="12"/>
          <w:szCs w:val="12"/>
          <w:color w:val="auto"/>
        </w:rPr>
      </w:pPr>
    </w:p>
    <w:p>
      <w:pPr>
        <w:ind w:left="420" w:hanging="207"/>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increase in inventory primarily related to Qelbree, which was launched in the second quarter of 2021;</w:t>
      </w:r>
    </w:p>
    <w:p>
      <w:pPr>
        <w:spacing w:after="0" w:line="136" w:lineRule="exact"/>
        <w:rPr>
          <w:rFonts w:ascii="Arial" w:cs="Arial" w:eastAsia="Arial" w:hAnsi="Arial"/>
          <w:sz w:val="12"/>
          <w:szCs w:val="12"/>
          <w:color w:val="auto"/>
        </w:rPr>
      </w:pPr>
    </w:p>
    <w:p>
      <w:pPr>
        <w:ind w:left="440" w:right="400" w:hanging="227"/>
        <w:spacing w:after="0" w:line="331" w:lineRule="auto"/>
        <w:tabs>
          <w:tab w:leader="none" w:pos="437" w:val="left"/>
        </w:tabs>
        <w:numPr>
          <w:ilvl w:val="0"/>
          <w:numId w:val="36"/>
        </w:numPr>
        <w:rPr>
          <w:rFonts w:ascii="Arial" w:cs="Arial" w:eastAsia="Arial" w:hAnsi="Arial"/>
          <w:sz w:val="11"/>
          <w:szCs w:val="11"/>
          <w:color w:val="auto"/>
        </w:rPr>
      </w:pPr>
      <w:r>
        <w:rPr>
          <w:rFonts w:ascii="Arial" w:cs="Arial" w:eastAsia="Arial" w:hAnsi="Arial"/>
          <w:sz w:val="11"/>
          <w:szCs w:val="11"/>
          <w:color w:val="auto"/>
        </w:rPr>
        <w:t>increases in accrued product returns and rebates primarily due to timing of Medicaid and commercial managed care rebate payments; increased provision for rebates due to growth in prescription unit volume, higher Medicaid and managed care rebates and expenditures for patient co-pay programs; and unfavorable actual returns experience in 2020 for discontinued blister pack Trokendi XR configurations.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7" w:name="page38"/>
    <w:bookmarkEnd w:id="3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Investing Activities</w:t>
      </w:r>
    </w:p>
    <w:p>
      <w:pPr>
        <w:spacing w:after="0" w:line="137" w:lineRule="exact"/>
        <w:rPr>
          <w:sz w:val="20"/>
          <w:szCs w:val="20"/>
          <w:color w:val="auto"/>
        </w:rPr>
      </w:pPr>
    </w:p>
    <w:p>
      <w:pPr>
        <w:ind w:right="200" w:firstLine="439"/>
        <w:spacing w:after="0" w:line="264" w:lineRule="auto"/>
        <w:rPr>
          <w:sz w:val="20"/>
          <w:szCs w:val="20"/>
          <w:color w:val="auto"/>
        </w:rPr>
      </w:pPr>
      <w:r>
        <w:rPr>
          <w:rFonts w:ascii="Arial" w:cs="Arial" w:eastAsia="Arial" w:hAnsi="Arial"/>
          <w:sz w:val="12"/>
          <w:szCs w:val="12"/>
          <w:color w:val="auto"/>
        </w:rPr>
        <w:t>Net cash used in investing activities was $158.0 million for the nine months ended September 30, 2021, as compared to $84.0 million net cash used in investing activities for the same period in 2020. The change in 2021 was primarily due to an increase in net purchases of marketable securities in 2021 resulting from investment of excess cash in marketable securities as compared to the same period in the prior year. The change in 2020 was primarily due to lower purchases of marketable securities from investment of excess cash in marketable securities, offset by proceeds from sale of marketable securities of $319.4 million, and offset by outlays for the USWM Acquisition of $297.2 million and the investment in Navitor of $15.0 million.</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 Activities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Net cash provided by financing activities for the nine months ended September 30, 2021 increased by $5.8 million, as compared to the same period in 2020, primarily due to higher proceeds from issuance of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 and Commitments</w:t>
      </w:r>
    </w:p>
    <w:p>
      <w:pPr>
        <w:spacing w:after="0" w:line="127" w:lineRule="exact"/>
        <w:rPr>
          <w:sz w:val="20"/>
          <w:szCs w:val="20"/>
          <w:color w:val="auto"/>
        </w:rPr>
      </w:pPr>
    </w:p>
    <w:p>
      <w:pPr>
        <w:ind w:right="120" w:firstLine="439"/>
        <w:spacing w:after="0" w:line="269" w:lineRule="auto"/>
        <w:rPr>
          <w:sz w:val="20"/>
          <w:szCs w:val="20"/>
          <w:color w:val="auto"/>
        </w:rPr>
      </w:pPr>
      <w:r>
        <w:rPr>
          <w:rFonts w:ascii="Arial" w:cs="Arial" w:eastAsia="Arial" w:hAnsi="Arial"/>
          <w:sz w:val="12"/>
          <w:szCs w:val="12"/>
          <w:color w:val="auto"/>
        </w:rPr>
        <w:t xml:space="preserve">Refer to the “Contractual Obligations and Commitments” section in “Part II, Item 7 — Management’s Discussion and Analysis of Liquidity and Capital Resources”, of our Annual Report on Form 10-K for the year ended December 31, 2020, and Note 15,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in the Notes to the Condensed Consolidated Financial Statements in Part I, Item 1, Unaudited Condensed Financial Statements, of this Quarterly Report on Form 10-Q for the discussion of our contractual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41" w:lineRule="exact"/>
        <w:rPr>
          <w:sz w:val="20"/>
          <w:szCs w:val="20"/>
          <w:color w:val="auto"/>
        </w:rPr>
      </w:pPr>
    </w:p>
    <w:p>
      <w:pPr>
        <w:jc w:val="both"/>
        <w:ind w:right="140" w:firstLine="439"/>
        <w:spacing w:after="0" w:line="269" w:lineRule="auto"/>
        <w:rPr>
          <w:sz w:val="20"/>
          <w:szCs w:val="20"/>
          <w:color w:val="auto"/>
        </w:rPr>
      </w:pPr>
      <w:r>
        <w:rPr>
          <w:rFonts w:ascii="Arial" w:cs="Arial" w:eastAsia="Arial" w:hAnsi="Arial"/>
          <w:sz w:val="12"/>
          <w:szCs w:val="12"/>
          <w:color w:val="auto"/>
        </w:rPr>
        <w:t>Other than the unconsolidated variable interest entities discussed in Part I, Item 1, Unaudited Condensed Financial Statements, of this Quarterly Report on Form 10-Q, we do not currently have, nor have we ever had, any relationships with unconsolidated entities or financial partnerships, such entities often referred to as structured finance or special purpose entities. These would have been established for the purpose of facilitating off-balance sheet arrangements or for other contractually narrow or limited purposes.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 addition, we do not engage in trading activities involving non-exchange traded contracts.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41" w:lineRule="exact"/>
        <w:rPr>
          <w:sz w:val="20"/>
          <w:szCs w:val="20"/>
          <w:color w:val="auto"/>
        </w:rPr>
      </w:pPr>
    </w:p>
    <w:p>
      <w:pPr>
        <w:jc w:val="both"/>
        <w:ind w:right="140" w:firstLine="439"/>
        <w:spacing w:after="0" w:line="283" w:lineRule="auto"/>
        <w:rPr>
          <w:sz w:val="20"/>
          <w:szCs w:val="20"/>
          <w:color w:val="auto"/>
        </w:rPr>
      </w:pPr>
      <w:r>
        <w:rPr>
          <w:rFonts w:ascii="Arial" w:cs="Arial" w:eastAsia="Arial" w:hAnsi="Arial"/>
          <w:sz w:val="12"/>
          <w:szCs w:val="12"/>
          <w:color w:val="auto"/>
        </w:rPr>
        <w:t>For a discussion of new accounting pronouncements, see Note 2 in the Notes to the Condensed Consolidated Financial Statements in Part I, Item 1, Unaudited Condensed Financial Statements, of this Quarterly Report on Form 10-Q.</w:t>
      </w:r>
    </w:p>
    <w:p>
      <w:pPr>
        <w:spacing w:after="0" w:line="82"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31" w:lineRule="exact"/>
        <w:rPr>
          <w:sz w:val="20"/>
          <w:szCs w:val="20"/>
          <w:color w:val="auto"/>
        </w:rPr>
      </w:pPr>
    </w:p>
    <w:p>
      <w:pPr>
        <w:ind w:right="220" w:firstLine="439"/>
        <w:spacing w:after="0" w:line="264" w:lineRule="auto"/>
        <w:rPr>
          <w:sz w:val="20"/>
          <w:szCs w:val="20"/>
          <w:color w:val="auto"/>
        </w:rPr>
      </w:pPr>
      <w:r>
        <w:rPr>
          <w:rFonts w:ascii="Arial" w:cs="Arial" w:eastAsia="Arial" w:hAnsi="Arial"/>
          <w:sz w:val="12"/>
          <w:szCs w:val="12"/>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cash equivalents, marketable securities, and long term marketable securities. As of September 30, 2021, we had unrestricted cash, cash equivalents, marketable securities, and long term marketable securities of $849.3 million.</w:t>
      </w:r>
    </w:p>
    <w:p>
      <w:pPr>
        <w:spacing w:after="0" w:line="107" w:lineRule="exact"/>
        <w:rPr>
          <w:sz w:val="20"/>
          <w:szCs w:val="20"/>
          <w:color w:val="auto"/>
        </w:rPr>
      </w:pPr>
    </w:p>
    <w:p>
      <w:pPr>
        <w:ind w:right="120" w:firstLine="439"/>
        <w:spacing w:after="0" w:line="283" w:lineRule="auto"/>
        <w:rPr>
          <w:sz w:val="20"/>
          <w:szCs w:val="20"/>
          <w:color w:val="auto"/>
        </w:rPr>
      </w:pPr>
      <w:r>
        <w:rPr>
          <w:rFonts w:ascii="Arial" w:cs="Arial" w:eastAsia="Arial" w:hAnsi="Arial"/>
          <w:sz w:val="12"/>
          <w:szCs w:val="12"/>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w:t>
      </w:r>
    </w:p>
    <w:p>
      <w:pPr>
        <w:spacing w:after="0" w:line="86" w:lineRule="exact"/>
        <w:rPr>
          <w:sz w:val="20"/>
          <w:szCs w:val="20"/>
          <w:color w:val="auto"/>
        </w:rPr>
      </w:pPr>
    </w:p>
    <w:p>
      <w:pPr>
        <w:ind w:right="120" w:firstLine="439"/>
        <w:spacing w:after="0" w:line="261" w:lineRule="auto"/>
        <w:rPr>
          <w:sz w:val="20"/>
          <w:szCs w:val="20"/>
          <w:color w:val="auto"/>
        </w:rPr>
      </w:pPr>
      <w:r>
        <w:rPr>
          <w:rFonts w:ascii="Arial" w:cs="Arial" w:eastAsia="Arial" w:hAnsi="Arial"/>
          <w:sz w:val="12"/>
          <w:szCs w:val="12"/>
          <w:color w:val="auto"/>
        </w:rPr>
        <w:t>Our cash and cash equivalents consist primarily of cash held at banks and investments in highly liquid financial instruments with an original maturity of three months or less. Our marketable securities as of September 30, 2021, which are reported at fair value, consist of investment grade corporate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 change in interest rates would have any significant impact on the realizable value of our investments. We do not have any currency or other derivative financial instruments other than outstanding warrants to purchase common stock and the convertible note hedges.</w:t>
      </w:r>
    </w:p>
    <w:p>
      <w:pPr>
        <w:spacing w:after="0" w:line="101" w:lineRule="exact"/>
        <w:rPr>
          <w:sz w:val="20"/>
          <w:szCs w:val="20"/>
          <w:color w:val="auto"/>
        </w:rPr>
      </w:pPr>
    </w:p>
    <w:p>
      <w:pPr>
        <w:ind w:right="240" w:firstLine="439"/>
        <w:spacing w:after="0" w:line="283" w:lineRule="auto"/>
        <w:rPr>
          <w:sz w:val="20"/>
          <w:szCs w:val="20"/>
          <w:color w:val="auto"/>
        </w:rPr>
      </w:pPr>
      <w:r>
        <w:rPr>
          <w:rFonts w:ascii="Arial" w:cs="Arial" w:eastAsia="Arial" w:hAnsi="Arial"/>
          <w:sz w:val="12"/>
          <w:szCs w:val="12"/>
          <w:color w:val="auto"/>
        </w:rPr>
        <w:t>We may contract with clinical research organizations (CROs), investigational sites and contract manufacturing organizations (CMOs) globally. Currently, we have an ongoing trial for SPN-817 outside the U.S. We have CMOs outside of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8" w:name="page39"/>
    <w:bookmarkEnd w:id="3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auto"/>
        </w:rPr>
        <w:t>U.S. who manufacture and supply certain of our clinical and commercial products and raw materials. We do not hedge our foreign currency exchange rate risk. Transactions denominated in currencies other than the U.S. dollar are recorded based on exchange rates at the time such transactions arise. As of September 30, 2021 and December 31, 2020, substantially all of our liabilities were denominated in the U.S. dollar. We do not believe that changes in foreign currency exchange rates over the nine months ended September 30, 2021 and 2020 had a significant impact on our consolidated results of operations.</w:t>
      </w:r>
    </w:p>
    <w:p>
      <w:pPr>
        <w:spacing w:after="0" w:line="103" w:lineRule="exact"/>
        <w:rPr>
          <w:sz w:val="20"/>
          <w:szCs w:val="20"/>
          <w:color w:val="auto"/>
        </w:rPr>
      </w:pPr>
    </w:p>
    <w:p>
      <w:pPr>
        <w:ind w:right="280" w:firstLine="439"/>
        <w:spacing w:after="0" w:line="331" w:lineRule="auto"/>
        <w:rPr>
          <w:sz w:val="20"/>
          <w:szCs w:val="20"/>
          <w:color w:val="auto"/>
        </w:rPr>
      </w:pPr>
      <w:r>
        <w:rPr>
          <w:rFonts w:ascii="Arial" w:cs="Arial" w:eastAsia="Arial" w:hAnsi="Arial"/>
          <w:sz w:val="11"/>
          <w:szCs w:val="11"/>
          <w:color w:val="auto"/>
        </w:rPr>
        <w:t>Inflation generally affects us by increasing our cost of labor, cost of purchased goods, and the cost of services provided by our vendors. We do not believe that inflation and changing prices over the nine months ended September 30, 2021 and 2020 had a significant impact on our consolidated results of operations. However, in the future, inflation may have an effect on our consolidated results of operations.</w:t>
      </w:r>
    </w:p>
    <w:p>
      <w:pPr>
        <w:spacing w:after="0" w:line="5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41" w:lineRule="exact"/>
        <w:rPr>
          <w:sz w:val="20"/>
          <w:szCs w:val="20"/>
          <w:color w:val="auto"/>
        </w:rPr>
      </w:pPr>
    </w:p>
    <w:p>
      <w:pPr>
        <w:ind w:right="20" w:firstLine="439"/>
        <w:spacing w:after="0" w:line="264" w:lineRule="auto"/>
        <w:rPr>
          <w:sz w:val="20"/>
          <w:szCs w:val="20"/>
          <w:color w:val="auto"/>
        </w:rPr>
      </w:pPr>
      <w:r>
        <w:rPr>
          <w:rFonts w:ascii="Arial" w:cs="Arial" w:eastAsia="Arial" w:hAnsi="Arial"/>
          <w:sz w:val="12"/>
          <w:szCs w:val="12"/>
          <w:color w:val="auto"/>
        </w:rPr>
        <w:t>We maintain disclosure controls and procedures over financial reporting, as defined in Rule 13a-15(e) of the Securities Exchange Act of 1934, as amended, or the Exchange Act. Our disclosure controls and procedures are designed to provide reasonable assurance that the information required to be disclosed in the reports we file or submit under the Exchange Act has been appropriately recorded, processed, summarized and reported within the time periods specified in the Securities and Exchange Commission’s rules and forms. Moreover, such information is accumulated and communicated to our management, including our CEO and CFO, to allow timely decisions regarding required disclosure.</w:t>
      </w:r>
    </w:p>
    <w:p>
      <w:pPr>
        <w:spacing w:after="0" w:line="97" w:lineRule="exact"/>
        <w:rPr>
          <w:sz w:val="20"/>
          <w:szCs w:val="20"/>
          <w:color w:val="auto"/>
        </w:rPr>
      </w:pPr>
    </w:p>
    <w:p>
      <w:pPr>
        <w:ind w:right="80" w:firstLine="439"/>
        <w:spacing w:after="0" w:line="331" w:lineRule="auto"/>
        <w:rPr>
          <w:sz w:val="20"/>
          <w:szCs w:val="20"/>
          <w:color w:val="auto"/>
        </w:rPr>
      </w:pPr>
      <w:r>
        <w:rPr>
          <w:rFonts w:ascii="Arial" w:cs="Arial" w:eastAsia="Arial" w:hAnsi="Arial"/>
          <w:sz w:val="11"/>
          <w:szCs w:val="11"/>
          <w:color w:val="auto"/>
        </w:rPr>
        <w:t>We conducted an evaluation of the effectiveness of the design and operation of our disclosure controls and procedures over financial reporting as of September 30, 2021, the end of the period covered by this report. Based on that evaluation, under the supervision and with the participation of our management, including our CEO and CFO, we concluded that our disclosure controls and procedures were effective as of September 30, 2021.</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41" w:lineRule="exact"/>
        <w:rPr>
          <w:sz w:val="20"/>
          <w:szCs w:val="20"/>
          <w:color w:val="auto"/>
        </w:rPr>
      </w:pPr>
    </w:p>
    <w:p>
      <w:pPr>
        <w:ind w:firstLine="439"/>
        <w:spacing w:after="0" w:line="269" w:lineRule="auto"/>
        <w:rPr>
          <w:sz w:val="20"/>
          <w:szCs w:val="20"/>
          <w:color w:val="auto"/>
        </w:rPr>
      </w:pPr>
      <w:r>
        <w:rPr>
          <w:rFonts w:ascii="Arial" w:cs="Arial" w:eastAsia="Arial" w:hAnsi="Arial"/>
          <w:sz w:val="12"/>
          <w:szCs w:val="12"/>
          <w:color w:val="auto"/>
        </w:rPr>
        <w:t>On June 9, 2020, the Company completed the USWM Acquisition. As of June 30, 2021, the integration of the internal controls relating to the business acquired through the USWM Acquisition into our business has been completed</w:t>
      </w:r>
      <w:r>
        <w:rPr>
          <w:rFonts w:ascii="Arial" w:cs="Arial" w:eastAsia="Arial" w:hAnsi="Arial"/>
          <w:sz w:val="12"/>
          <w:szCs w:val="12"/>
          <w:b w:val="1"/>
          <w:bCs w:val="1"/>
          <w:color w:val="auto"/>
        </w:rPr>
        <w:t>.</w:t>
      </w:r>
      <w:r>
        <w:rPr>
          <w:rFonts w:ascii="Arial" w:cs="Arial" w:eastAsia="Arial" w:hAnsi="Arial"/>
          <w:sz w:val="12"/>
          <w:szCs w:val="12"/>
          <w:color w:val="auto"/>
        </w:rPr>
        <w:t xml:space="preserve"> The business combination accounting for the USWM Acquisition was completed during the second quarter of 2021, and the acquired business will be included in our evaluation of the effectiveness of our internal control over financial reporting for fiscal year 2021.</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 July 2021, the Company announced, effective August 13, 2021, the resignation of the former CFO. The current CFO was appointed by the Board of Directors effective August 23, 2021.</w:t>
      </w:r>
    </w:p>
    <w:p>
      <w:pPr>
        <w:spacing w:after="0" w:line="127" w:lineRule="exact"/>
        <w:rPr>
          <w:sz w:val="20"/>
          <w:szCs w:val="20"/>
          <w:color w:val="auto"/>
        </w:rPr>
      </w:pPr>
    </w:p>
    <w:p>
      <w:pPr>
        <w:ind w:right="400" w:firstLine="439"/>
        <w:spacing w:after="0" w:line="283" w:lineRule="auto"/>
        <w:rPr>
          <w:sz w:val="20"/>
          <w:szCs w:val="20"/>
          <w:color w:val="auto"/>
        </w:rPr>
      </w:pPr>
      <w:r>
        <w:rPr>
          <w:rFonts w:ascii="Arial" w:cs="Arial" w:eastAsia="Arial" w:hAnsi="Arial"/>
          <w:sz w:val="12"/>
          <w:szCs w:val="12"/>
          <w:color w:val="auto"/>
        </w:rPr>
        <w:t>During the three months ended September 30, 2021, no changes occurred in our internal control over financial reporting that materially affected, or are reasonably likely to materially affect, our internal control over financial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9" w:name="page40"/>
    <w:bookmarkEnd w:id="3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 OTHER INFORMATION</w:t>
      </w:r>
    </w:p>
    <w:p>
      <w:pPr>
        <w:spacing w:after="0" w:line="137"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From time to time and in the ordinary course of business, we may be subject to various claims, charges and litigation. We may be required to file infringement claims against third parties for the infringement of our patents.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Oxtellar XR</w:t>
      </w:r>
      <w:r>
        <w:rPr>
          <w:rFonts w:ascii="Arial" w:cs="Arial" w:eastAsia="Arial" w:hAnsi="Arial"/>
          <w:sz w:val="15"/>
          <w:szCs w:val="15"/>
          <w:b w:val="1"/>
          <w:bCs w:val="1"/>
          <w:i w:val="1"/>
          <w:iCs w:val="1"/>
          <w:color w:val="auto"/>
          <w:vertAlign w:val="superscript"/>
        </w:rPr>
        <w:t>®</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Apotex Inc., et al., C.A. No. 20-cv-7870 (FLW)(TJB) (D.N.J.)</w:t>
      </w:r>
    </w:p>
    <w:p>
      <w:pPr>
        <w:spacing w:after="0" w:line="131" w:lineRule="exact"/>
        <w:rPr>
          <w:sz w:val="20"/>
          <w:szCs w:val="20"/>
          <w:color w:val="auto"/>
        </w:rPr>
      </w:pPr>
    </w:p>
    <w:p>
      <w:pPr>
        <w:ind w:firstLine="439"/>
        <w:spacing w:after="0" w:line="284" w:lineRule="auto"/>
        <w:rPr>
          <w:sz w:val="20"/>
          <w:szCs w:val="20"/>
          <w:color w:val="auto"/>
        </w:rPr>
      </w:pPr>
      <w:r>
        <w:rPr>
          <w:rFonts w:ascii="Arial" w:cs="Arial" w:eastAsia="Arial" w:hAnsi="Arial"/>
          <w:sz w:val="11"/>
          <w:szCs w:val="11"/>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asserting affirmative defenses that include non-infringement and invalidity. Apotex also asserted Counterclaims seeking declaratory judgments of non-infringement for the nine Oxtellar XR® Orange Book patents. On October 30, 2020, the Company filed its Reply, denying the substantive allegations of Apotex’s Counterclaims. Following the initial Rule 16 Scheduling Conference, the Court issued a case schedule that provides for a trial in June or July 2022. Pretrial discovery is ongoing as of the date of this letter.</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RiconPharma LLC, et al., C.A. No. 21-cv-12133 (FLW)(TJB) (D.N.J.)</w:t>
      </w:r>
    </w:p>
    <w:p>
      <w:pPr>
        <w:spacing w:after="0" w:line="141" w:lineRule="exact"/>
        <w:rPr>
          <w:sz w:val="20"/>
          <w:szCs w:val="20"/>
          <w:color w:val="auto"/>
        </w:rPr>
      </w:pPr>
    </w:p>
    <w:p>
      <w:pPr>
        <w:ind w:right="40" w:firstLine="439"/>
        <w:spacing w:after="0" w:line="148" w:lineRule="exact"/>
        <w:rPr>
          <w:sz w:val="20"/>
          <w:szCs w:val="20"/>
          <w:color w:val="auto"/>
        </w:rPr>
      </w:pPr>
      <w:r>
        <w:rPr>
          <w:rFonts w:ascii="Arial" w:cs="Arial" w:eastAsia="Arial" w:hAnsi="Arial"/>
          <w:sz w:val="11"/>
          <w:szCs w:val="11"/>
          <w:color w:val="auto"/>
        </w:rPr>
        <w:t>The Company received a Paragraph IV Notice Letter from generic drug maker RiconPharma LLC dated April 20, 2021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3, 2021, the Company filed a lawsuit against RiconPharma LLC and Ingenus Pharmaceuticals, LLC (collectively, “Ricon”) alleging infringement of the Company’s nine Oxtellar XR® patents. The Complaint—filed in the U.S. District Court for the District of New Jersey—alleges, inter alia, that Ricon infringed the Company’s Oxtellar XR® patents by submitting to the FDA an Abbreviated New Drug Application (“ANDA”) seeking to market a generic version of Oxtellar XR® prior to the expiration of the Company’s patents. Filing its June 3, 2021 Complaint within 45 days of receiving Ricon’s Paragraph IV certification notice entitles Supernus to an automatic stay preventing the FDA from approving Ricon’s ANDA for 30 months from the date of the Company’s receipt of the Paragraph IV Notice Letter. On August 30, 2021, Ricon answered the Complaint and denied the substantive allegations of the Complaint, asserting affirmative defenses that include non-infringement and invalidity. Ricon also asserted Counterclaims seeking declaratory judgments of non</w:t>
      </w:r>
      <w:r>
        <w:rPr>
          <w:rFonts w:ascii="MS PGothic" w:cs="MS PGothic" w:eastAsia="MS PGothic" w:hAnsi="MS PGothic"/>
          <w:sz w:val="11"/>
          <w:szCs w:val="11"/>
          <w:color w:val="auto"/>
        </w:rPr>
        <w:t>‑</w:t>
      </w:r>
      <w:r>
        <w:rPr>
          <w:rFonts w:ascii="Arial" w:cs="Arial" w:eastAsia="Arial" w:hAnsi="Arial"/>
          <w:sz w:val="11"/>
          <w:szCs w:val="11"/>
          <w:color w:val="auto"/>
        </w:rPr>
        <w:t>infringement for the nine Oxtellar XR® Orange Book patents. Supernus filed a motion to strike the jury demand in Ricon’s answer, which is pending as of the date of this filing. As of the date of this filing, Supernus has not otherwise replied to Ricon’s Counterclaims. An initial Rule 16 Scheduling Conference has been set for November 9, 2021.</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TWi Pharmaceuticals, Inc., et al., C.A. No. 17-cv-2164 (RMB)(JS) (D.N.J.)</w:t>
      </w:r>
    </w:p>
    <w:p>
      <w:pPr>
        <w:spacing w:after="0" w:line="131" w:lineRule="exact"/>
        <w:rPr>
          <w:sz w:val="20"/>
          <w:szCs w:val="20"/>
          <w:color w:val="auto"/>
        </w:rPr>
      </w:pPr>
    </w:p>
    <w:p>
      <w:pPr>
        <w:ind w:right="120" w:firstLine="439"/>
        <w:spacing w:after="0" w:line="291" w:lineRule="auto"/>
        <w:rPr>
          <w:sz w:val="20"/>
          <w:szCs w:val="20"/>
          <w:color w:val="auto"/>
        </w:rPr>
      </w:pPr>
      <w:r>
        <w:rPr>
          <w:rFonts w:ascii="Arial" w:cs="Arial" w:eastAsia="Arial" w:hAnsi="Arial"/>
          <w:sz w:val="11"/>
          <w:szCs w:val="11"/>
          <w:color w:val="auto"/>
        </w:rPr>
        <w:t>The Company received a second Paragraph IV Notice Letter against United States Patent Nos. 7,722,898; 7,910,131; 8,617,600; 8,821,930; 9,119,791; 9,351,975; and 9,370,525 from generic drug maker TWi Pharmaceuticals, Inc. on February 16, 2017. On March 31, 2017, the Company filed a lawsuit against TWi Pharmaceuticals, Inc. and TWi International LLC (collectively “TWi”) alleging infringement of United States Patent Nos. 7,722,898; 7,910,131; 8,617,600; 8,821,930; 9,119,791; 9,351,975; and 9,370,525. TWi filed a motion to dismiss the Company’s March 31, 2017 Complaint on May 10, 2017. On May 11, 2017, the district court administratively terminated TWi’s motion to dismiss for failure to comply with the Court’s Individual Rules and Procedures. On May 19, 2017, the district court “administratively terminate[d] this matter pending this Court’s decision in the First TWi Action [concerning United States Patent Nos. 7,722,898, 7,910,131, 8,617,600, and 8,821,930].” As of the date of this filing, Civil Action No. 17-2164 (RMB)(JS) (D.N.J.) remains administratively terminated.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0" w:name="page41"/>
    <w:bookmarkEnd w:id="4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Trokendi XR</w:t>
      </w:r>
      <w:r>
        <w:rPr>
          <w:rFonts w:ascii="Arial" w:cs="Arial" w:eastAsia="Arial" w:hAnsi="Arial"/>
          <w:sz w:val="15"/>
          <w:szCs w:val="15"/>
          <w:b w:val="1"/>
          <w:bCs w:val="1"/>
          <w:i w:val="1"/>
          <w:iCs w:val="1"/>
          <w:color w:val="auto"/>
          <w:vertAlign w:val="superscript"/>
        </w:rPr>
        <w:t>®</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Ajanta Pharma Limited, et al., C.A. No. 21-cv-6964 (FLW)(LHG) (D.N.J.)</w:t>
      </w:r>
    </w:p>
    <w:p>
      <w:pPr>
        <w:spacing w:after="0" w:line="131" w:lineRule="exact"/>
        <w:rPr>
          <w:sz w:val="20"/>
          <w:szCs w:val="20"/>
          <w:color w:val="auto"/>
        </w:rPr>
      </w:pPr>
    </w:p>
    <w:p>
      <w:pPr>
        <w:ind w:firstLine="439"/>
        <w:spacing w:after="0" w:line="148" w:lineRule="exact"/>
        <w:rPr>
          <w:sz w:val="20"/>
          <w:szCs w:val="20"/>
          <w:color w:val="auto"/>
        </w:rPr>
      </w:pPr>
      <w:r>
        <w:rPr>
          <w:rFonts w:ascii="Arial" w:cs="Arial" w:eastAsia="Arial" w:hAnsi="Arial"/>
          <w:sz w:val="11"/>
          <w:szCs w:val="11"/>
          <w:color w:val="auto"/>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1"/>
          <w:szCs w:val="11"/>
          <w:color w:val="auto"/>
        </w:rPr>
        <w:t>‑</w:t>
      </w:r>
      <w:r>
        <w:rPr>
          <w:rFonts w:ascii="Arial" w:cs="Arial" w:eastAsia="Arial" w:hAnsi="Arial"/>
          <w:sz w:val="11"/>
          <w:szCs w:val="11"/>
          <w:color w:val="auto"/>
        </w:rPr>
        <w:t>infringement and invalidity for the Trokendi XR® Orange Book patents. On June 28, 2021, the Company filed its reply, denying the substantive allegations of Ajanta’s Counterclaims. Following the initial Rule 16 Scheduling Conference, the Court issued a case schedule that provides for a Final Pre-Trial Conference in February 2023. Pretrial discovery is ongoing as of the date of this filing.</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Torrent Pharmaceuticals Ltd., et al., C.A. No. 21-cv-14268 (FLW)(LHG) (D.N.J.)</w:t>
      </w:r>
    </w:p>
    <w:p>
      <w:pPr>
        <w:spacing w:after="0" w:line="141" w:lineRule="exact"/>
        <w:rPr>
          <w:sz w:val="20"/>
          <w:szCs w:val="20"/>
          <w:color w:val="auto"/>
        </w:rPr>
      </w:pPr>
    </w:p>
    <w:p>
      <w:pPr>
        <w:ind w:firstLine="439"/>
        <w:spacing w:after="0" w:line="148" w:lineRule="exact"/>
        <w:rPr>
          <w:sz w:val="20"/>
          <w:szCs w:val="20"/>
          <w:color w:val="auto"/>
        </w:rPr>
      </w:pPr>
      <w:r>
        <w:rPr>
          <w:rFonts w:ascii="Arial" w:cs="Arial" w:eastAsia="Arial" w:hAnsi="Arial"/>
          <w:sz w:val="12"/>
          <w:szCs w:val="12"/>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2"/>
          <w:szCs w:val="12"/>
          <w:color w:val="auto"/>
        </w:rPr>
        <w:t>‑</w:t>
      </w:r>
      <w:r>
        <w:rPr>
          <w:rFonts w:ascii="Arial" w:cs="Arial" w:eastAsia="Arial" w:hAnsi="Arial"/>
          <w:sz w:val="12"/>
          <w:szCs w:val="12"/>
          <w:color w:val="auto"/>
        </w:rPr>
        <w:t>infringement for the Trokendi XR® Orange Book patents. As of the date of this filing, Supernus has not replied to Torrent’s Counterclaims. An initial Rule 16 Scheduling Conference has been set for November 3, 2021.</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Lupin Limited, et al., C.A. No. 21-cv-1293 (MN) (D. Del.)</w:t>
      </w:r>
    </w:p>
    <w:p>
      <w:pPr>
        <w:spacing w:after="0" w:line="131" w:lineRule="exact"/>
        <w:rPr>
          <w:sz w:val="20"/>
          <w:szCs w:val="20"/>
          <w:color w:val="auto"/>
        </w:rPr>
      </w:pPr>
    </w:p>
    <w:p>
      <w:pPr>
        <w:ind w:right="20" w:firstLine="439"/>
        <w:spacing w:after="0" w:line="285" w:lineRule="auto"/>
        <w:rPr>
          <w:sz w:val="20"/>
          <w:szCs w:val="20"/>
          <w:color w:val="auto"/>
        </w:rPr>
      </w:pPr>
      <w:r>
        <w:rPr>
          <w:rFonts w:ascii="Arial" w:cs="Arial" w:eastAsia="Arial" w:hAnsi="Arial"/>
          <w:sz w:val="11"/>
          <w:szCs w:val="11"/>
          <w:color w:val="auto"/>
        </w:rPr>
        <w:t>The Company received a Paragraph IV Notice Letter from generic drug maker Lupin Limited dated July 29,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10, 2021, the Company filed a lawsuit against Lupin Limited, Lupin Atlantis Holdings S.A., Nanomi B.V., Lupin Inc., and Lupin Pharmaceuticals, Inc. (collectively, “Lupin”) alleging infringement of the Company’s Trokendi XR® Orange Book patents. The Complaint—filed in the U.S. District Court for the District of Delaware—alleges, inter alia, that Lupin infringed the Company’s Trokendi XR® patents by submitting to the FDA an Abbreviated New Drug Application (“ANDA”) seeking to market a generic version of Trokendi XR® prior to the expiration of the Company’s patents. Filing its September 10, 2021 Complaint within 45 days of receiving Lupin’s Paragraph IV certification notice entitles Supernus to an automatic stay preventing the FDA from approving Lupin’s ANDA for 30 months from the date of the Company’s receipt of the Paragraph IV Notice Letter. As of the date of this filing, Lupin has not replied to Supernus’s Complaint.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1" w:name="page42"/>
    <w:bookmarkEnd w:id="4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Supernus Pharmaceuticals, Inc. v. Zydus Pharmaceuticals (USA) Inc., et al., C.A. No. 21-cv-17104 (FLW)(LHG) (D.N.J.)</w:t>
      </w:r>
    </w:p>
    <w:p>
      <w:pPr>
        <w:spacing w:after="0" w:line="141" w:lineRule="exact"/>
        <w:rPr>
          <w:sz w:val="20"/>
          <w:szCs w:val="20"/>
          <w:color w:val="auto"/>
        </w:rPr>
      </w:pPr>
    </w:p>
    <w:p>
      <w:pPr>
        <w:ind w:right="120" w:firstLine="439"/>
        <w:spacing w:after="0" w:line="283" w:lineRule="auto"/>
        <w:rPr>
          <w:sz w:val="20"/>
          <w:szCs w:val="20"/>
          <w:color w:val="auto"/>
        </w:rPr>
      </w:pPr>
      <w:r>
        <w:rPr>
          <w:rFonts w:ascii="Arial" w:cs="Arial" w:eastAsia="Arial" w:hAnsi="Arial"/>
          <w:sz w:val="11"/>
          <w:szCs w:val="11"/>
          <w:color w:val="auto"/>
        </w:rPr>
        <w:t>The Company received a Paragraph IV Notice Letter from generic drug maker Zydus Pharmaceuticals (USA) Inc. dated August 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17, 2021, the Company filed a lawsuit against Zydus Pharmaceuticals (USA) Inc. and Cadila Healthcare Limited (collectively, “Zydus”) alleging infringement of the Company’s Trokendi XR® Orange Book patents. The Complaint—filed in the U.S. District Court for the District of New Jersey—alleges, inter alia, that Zydus infringed the Company’s Trokendi XR® patents by submitting to the FDA an Abbreviated New Drug Application (“ANDA”) seeking to market a generic version of Trokendi XR® prior to the expiration of the Company’s patents. Filing its September 17, 2021 Complaint within 45 days of receiving Zydus’s Paragraph IV certification notice entitles Supernus to an automatic stay preventing the FDA from approving Zydus’s ANDA for 30 months from the date of the Company’s receipt of the Paragraph IV Notice Letter. As of the date of this filing, Zydus has not replied to Supernus’s Complaint. The August 5, 2021 Paragraph IV Notice Letter from Zydus Pharmaceuticals (USA) Inc. concerns Zydus’s proposed generic equivalent of the 200 mg strength of Trokendi XR®. Previously, the Company was in a lawsuit against Zydus Pharmaceuticals (USA) Inc. and Cadila Healthcare Limited concerning an Abbreviated New Drug Application (“ANDA”) for Zydus’s proposed generic equivalents of the 25 mg, 50 mg, and 100 mg strengths of Trokendi XR®. A settlement agreement was entered into between the Company and Zydus Pharmaceuticals (USA) Inc. and Cadila Healthcare Limited concerning the previous lawsuit. The August 5, 2021 Paragraph IV Notice Letter referenced herein does not concern the same ANDA as the one that was at issue in the previous lawsuit.</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XADAGO</w:t>
      </w:r>
      <w:r>
        <w:rPr>
          <w:rFonts w:ascii="Arial" w:cs="Arial" w:eastAsia="Arial" w:hAnsi="Arial"/>
          <w:sz w:val="15"/>
          <w:szCs w:val="15"/>
          <w:b w:val="1"/>
          <w:bCs w:val="1"/>
          <w:i w:val="1"/>
          <w:iCs w:val="1"/>
          <w:color w:val="auto"/>
          <w:vertAlign w:val="superscript"/>
        </w:rPr>
        <w:t>®</w:t>
      </w:r>
    </w:p>
    <w:p>
      <w:pPr>
        <w:spacing w:after="0" w:line="97" w:lineRule="exact"/>
        <w:rPr>
          <w:sz w:val="20"/>
          <w:szCs w:val="20"/>
          <w:color w:val="auto"/>
        </w:rPr>
      </w:pPr>
    </w:p>
    <w:p>
      <w:pPr>
        <w:ind w:right="80" w:firstLine="439"/>
        <w:spacing w:after="0" w:line="284" w:lineRule="auto"/>
        <w:rPr>
          <w:sz w:val="20"/>
          <w:szCs w:val="20"/>
          <w:color w:val="auto"/>
        </w:rPr>
      </w:pPr>
      <w:r>
        <w:rPr>
          <w:rFonts w:ascii="Arial" w:cs="Arial" w:eastAsia="Arial" w:hAnsi="Arial"/>
          <w:sz w:val="11"/>
          <w:szCs w:val="11"/>
          <w:color w:val="auto"/>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 the Company’s once-daily product indicated as adjunctive treatment to levodopa/carbidopa in patients with Parkinson’s Disease experiencing “off” episodes. U.S. Patent Nos. 8,076,515, 8,278,485 and 8,283,380 (collectively, the “XADAGO Patents”) cover the pharmaceutical formulation of and methods of treatment with safinamide. The XADAGO Patents expire between June 2027 and March 2031. The Company has a license agreement with Zambon, Newron’s partner, related to the XADAGO Patents, and as a new chemical entity, XADAGO is under the 5-year FDA exclusivity period that expires on March 21, 2022. The Complaint – filed in the U.S. District Court for the District of Delaware – alleges that the Defendants infringed the XADAGO Patents by submitting to the U.S. Food and Drug Administration (FDA) Abbreviated New Drug Applications (ANDAs) seeking to market a generic version of XADAGO prior to the expiration of the patents. 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The parties agreed on a case schedule. A trial has been set for January 8, 2024.</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31" w:lineRule="exact"/>
        <w:rPr>
          <w:sz w:val="20"/>
          <w:szCs w:val="20"/>
          <w:color w:val="auto"/>
        </w:rPr>
      </w:pPr>
    </w:p>
    <w:p>
      <w:pPr>
        <w:ind w:right="20" w:firstLine="439"/>
        <w:spacing w:after="0" w:line="264" w:lineRule="auto"/>
        <w:rPr>
          <w:sz w:val="20"/>
          <w:szCs w:val="20"/>
          <w:color w:val="auto"/>
        </w:rPr>
      </w:pPr>
      <w:r>
        <w:rPr>
          <w:rFonts w:ascii="Arial" w:cs="Arial" w:eastAsia="Arial" w:hAnsi="Arial"/>
          <w:sz w:val="12"/>
          <w:szCs w:val="12"/>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2020 and quarterly report on Form 10-Q for the period ended March 31, 2021. These risks may result in material harm to our business and our financial condition and results of operations. If a material, adverse event were to occur, the market price of our common stock may decline and you could lose part or all of your investment.</w:t>
      </w:r>
    </w:p>
    <w:p>
      <w:pPr>
        <w:spacing w:after="0" w:line="9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Sales of Unregistered Securities.</w:t>
      </w:r>
    </w:p>
    <w:p>
      <w:pPr>
        <w:spacing w:after="0" w:line="131" w:lineRule="exact"/>
        <w:rPr>
          <w:sz w:val="20"/>
          <w:szCs w:val="20"/>
          <w:color w:val="auto"/>
        </w:rPr>
      </w:pPr>
    </w:p>
    <w:p>
      <w:pPr>
        <w:ind w:firstLine="439"/>
        <w:spacing w:after="0" w:line="269" w:lineRule="auto"/>
        <w:rPr>
          <w:sz w:val="20"/>
          <w:szCs w:val="20"/>
          <w:color w:val="auto"/>
        </w:rPr>
      </w:pPr>
      <w:r>
        <w:rPr>
          <w:rFonts w:ascii="Arial" w:cs="Arial" w:eastAsia="Arial" w:hAnsi="Arial"/>
          <w:sz w:val="12"/>
          <w:szCs w:val="12"/>
          <w:color w:val="auto"/>
        </w:rPr>
        <w:t>During the nine months ended September 30, 2021, the Company granted options to employees to purchase an aggregate of 991,325 shares of common stock at a weighted-average exercise price of $28.93 per share. The Company granted 115,000 performance stock units to its employees at a weighted-average grant date fair value of $29.55 per share. These issuances are exempt from registration in reliance on Section 4(a)(2) of the Securities Act as transactions not involving a public offering.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2" w:name="page43"/>
    <w:bookmarkEnd w:id="4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Defaults Upon Senior Securities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None</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None</w:t>
      </w:r>
    </w:p>
    <w:p>
      <w:pPr>
        <w:spacing w:after="0" w:line="13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Other Information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43" w:name="page44"/>
    <w:bookmarkEnd w:id="4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7840" w:type="dxa"/>
            <w:vAlign w:val="bottom"/>
            <w:gridSpan w:val="6"/>
          </w:tcPr>
          <w:p>
            <w:pPr>
              <w:ind w:left="40"/>
              <w:spacing w:after="0"/>
              <w:rPr>
                <w:sz w:val="20"/>
                <w:szCs w:val="20"/>
                <w:color w:val="auto"/>
              </w:rPr>
            </w:pPr>
            <w:r>
              <w:rPr>
                <w:rFonts w:ascii="Arial" w:cs="Arial" w:eastAsia="Arial" w:hAnsi="Arial"/>
                <w:sz w:val="12"/>
                <w:szCs w:val="12"/>
                <w:b w:val="1"/>
                <w:bCs w:val="1"/>
                <w:color w:val="auto"/>
              </w:rPr>
              <w:t>Exhibits</w:t>
            </w:r>
          </w:p>
        </w:tc>
      </w:tr>
      <w:tr>
        <w:trPr>
          <w:trHeight w:val="275"/>
        </w:trPr>
        <w:tc>
          <w:tcPr>
            <w:tcW w:w="8280" w:type="dxa"/>
            <w:vAlign w:val="bottom"/>
            <w:gridSpan w:val="7"/>
          </w:tcPr>
          <w:p>
            <w:pPr>
              <w:spacing w:after="0"/>
              <w:rPr>
                <w:sz w:val="20"/>
                <w:szCs w:val="20"/>
                <w:color w:val="auto"/>
              </w:rPr>
            </w:pPr>
            <w:r>
              <w:rPr>
                <w:rFonts w:ascii="Arial" w:cs="Arial" w:eastAsia="Arial" w:hAnsi="Arial"/>
                <w:sz w:val="12"/>
                <w:szCs w:val="12"/>
                <w:color w:val="auto"/>
              </w:rPr>
              <w:t>The following exhibits are filed or furnished as part of this Quarterly Report on Form 10-Q:</w:t>
            </w:r>
          </w:p>
        </w:tc>
      </w:tr>
      <w:tr>
        <w:trPr>
          <w:trHeight w:val="147"/>
        </w:trPr>
        <w:tc>
          <w:tcPr>
            <w:tcW w:w="440" w:type="dxa"/>
            <w:vAlign w:val="bottom"/>
          </w:tcPr>
          <w:p>
            <w:pPr>
              <w:spacing w:after="0"/>
              <w:rPr>
                <w:sz w:val="20"/>
                <w:szCs w:val="20"/>
                <w:color w:val="auto"/>
              </w:rPr>
            </w:pPr>
            <w:r>
              <w:rPr>
                <w:rFonts w:ascii="Arial" w:cs="Arial" w:eastAsia="Arial" w:hAnsi="Arial"/>
                <w:sz w:val="12"/>
                <w:szCs w:val="12"/>
                <w:color w:val="auto"/>
              </w:rPr>
              <w:t>10.1 [†]</w:t>
            </w:r>
          </w:p>
        </w:tc>
        <w:tc>
          <w:tcPr>
            <w:tcW w:w="600" w:type="dxa"/>
            <w:vAlign w:val="bottom"/>
          </w:tcPr>
          <w:p>
            <w:pPr>
              <w:spacing w:after="0"/>
              <w:rPr>
                <w:sz w:val="12"/>
                <w:szCs w:val="12"/>
                <w:color w:val="auto"/>
              </w:rPr>
            </w:pPr>
          </w:p>
        </w:tc>
        <w:tc>
          <w:tcPr>
            <w:tcW w:w="7240" w:type="dxa"/>
            <w:vAlign w:val="bottom"/>
            <w:gridSpan w:val="5"/>
          </w:tcPr>
          <w:p>
            <w:pPr>
              <w:spacing w:after="0"/>
              <w:rPr>
                <w:rFonts w:ascii="Arial" w:cs="Arial" w:eastAsia="Arial" w:hAnsi="Arial"/>
                <w:sz w:val="12"/>
                <w:szCs w:val="12"/>
                <w:color w:val="0000FF"/>
              </w:rPr>
            </w:pPr>
            <w:hyperlink w:anchor="page46">
              <w:r>
                <w:rPr>
                  <w:rFonts w:ascii="Arial" w:cs="Arial" w:eastAsia="Arial" w:hAnsi="Arial"/>
                  <w:sz w:val="12"/>
                  <w:szCs w:val="12"/>
                  <w:color w:val="0000FF"/>
                </w:rPr>
                <w:t>Amendment to Deed of Lease, August 23, 2021, by and between Supernus Pharmaceuticals, Inc. and Key West MD Owner, LLC.</w:t>
              </w:r>
            </w:hyperlink>
          </w:p>
        </w:tc>
      </w:tr>
      <w:tr>
        <w:trPr>
          <w:trHeight w:val="328"/>
        </w:trPr>
        <w:tc>
          <w:tcPr>
            <w:tcW w:w="440" w:type="dxa"/>
            <w:vAlign w:val="bottom"/>
          </w:tcPr>
          <w:p>
            <w:pPr>
              <w:spacing w:after="0"/>
              <w:rPr>
                <w:sz w:val="20"/>
                <w:szCs w:val="20"/>
                <w:color w:val="auto"/>
              </w:rPr>
            </w:pPr>
            <w:r>
              <w:rPr>
                <w:rFonts w:ascii="Arial" w:cs="Arial" w:eastAsia="Arial" w:hAnsi="Arial"/>
                <w:sz w:val="12"/>
                <w:szCs w:val="12"/>
                <w:color w:val="auto"/>
              </w:rPr>
              <w:t>31.1</w:t>
            </w:r>
          </w:p>
        </w:tc>
        <w:tc>
          <w:tcPr>
            <w:tcW w:w="600" w:type="dxa"/>
            <w:vAlign w:val="bottom"/>
          </w:tcPr>
          <w:p>
            <w:pPr>
              <w:spacing w:after="0"/>
              <w:rPr>
                <w:sz w:val="24"/>
                <w:szCs w:val="24"/>
                <w:color w:val="auto"/>
              </w:rPr>
            </w:pPr>
          </w:p>
        </w:tc>
        <w:tc>
          <w:tcPr>
            <w:tcW w:w="6340" w:type="dxa"/>
            <w:vAlign w:val="bottom"/>
            <w:tcBorders>
              <w:top w:val="single" w:sz="8" w:color="0000FF"/>
            </w:tcBorders>
            <w:gridSpan w:val="3"/>
          </w:tcPr>
          <w:p>
            <w:pPr>
              <w:spacing w:after="0"/>
              <w:rPr>
                <w:rFonts w:ascii="Arial" w:cs="Arial" w:eastAsia="Arial" w:hAnsi="Arial"/>
                <w:sz w:val="12"/>
                <w:szCs w:val="12"/>
                <w:color w:val="0000FF"/>
              </w:rPr>
            </w:pPr>
            <w:hyperlink w:anchor="page51">
              <w:r>
                <w:rPr>
                  <w:rFonts w:ascii="Arial" w:cs="Arial" w:eastAsia="Arial" w:hAnsi="Arial"/>
                  <w:sz w:val="12"/>
                  <w:szCs w:val="12"/>
                  <w:color w:val="0000FF"/>
                </w:rPr>
                <w:t>Certification of Chief Executive Officer pursuant to Rule 13a-14(a).</w:t>
              </w:r>
            </w:hyperlink>
          </w:p>
        </w:tc>
        <w:tc>
          <w:tcPr>
            <w:tcW w:w="900" w:type="dxa"/>
            <w:vAlign w:val="bottom"/>
            <w:gridSpan w:val="2"/>
          </w:tcPr>
          <w:p>
            <w:pPr>
              <w:spacing w:after="0"/>
              <w:rPr>
                <w:sz w:val="24"/>
                <w:szCs w:val="24"/>
                <w:color w:val="auto"/>
              </w:rPr>
            </w:pPr>
          </w:p>
        </w:tc>
      </w:tr>
      <w:tr>
        <w:trPr>
          <w:trHeight w:val="309"/>
        </w:trPr>
        <w:tc>
          <w:tcPr>
            <w:tcW w:w="440" w:type="dxa"/>
            <w:vAlign w:val="bottom"/>
          </w:tcPr>
          <w:p>
            <w:pPr>
              <w:spacing w:after="0"/>
              <w:rPr>
                <w:sz w:val="20"/>
                <w:szCs w:val="20"/>
                <w:color w:val="auto"/>
              </w:rPr>
            </w:pPr>
            <w:r>
              <w:rPr>
                <w:rFonts w:ascii="Arial" w:cs="Arial" w:eastAsia="Arial" w:hAnsi="Arial"/>
                <w:sz w:val="12"/>
                <w:szCs w:val="12"/>
                <w:color w:val="auto"/>
              </w:rPr>
              <w:t>31.2</w:t>
            </w:r>
          </w:p>
        </w:tc>
        <w:tc>
          <w:tcPr>
            <w:tcW w:w="600" w:type="dxa"/>
            <w:vAlign w:val="bottom"/>
          </w:tcPr>
          <w:p>
            <w:pPr>
              <w:spacing w:after="0"/>
              <w:rPr>
                <w:sz w:val="24"/>
                <w:szCs w:val="24"/>
                <w:color w:val="auto"/>
              </w:rPr>
            </w:pPr>
          </w:p>
        </w:tc>
        <w:tc>
          <w:tcPr>
            <w:tcW w:w="3300" w:type="dxa"/>
            <w:vAlign w:val="bottom"/>
            <w:tcBorders>
              <w:top w:val="single" w:sz="8" w:color="0000FF"/>
              <w:bottom w:val="single" w:sz="8" w:color="0000FF"/>
            </w:tcBorders>
          </w:tcPr>
          <w:p>
            <w:pPr>
              <w:spacing w:after="0"/>
              <w:rPr>
                <w:rFonts w:ascii="Arial" w:cs="Arial" w:eastAsia="Arial" w:hAnsi="Arial"/>
                <w:sz w:val="12"/>
                <w:szCs w:val="12"/>
                <w:color w:val="0000FF"/>
                <w:w w:val="94"/>
              </w:rPr>
            </w:pPr>
            <w:hyperlink w:anchor="page52">
              <w:r>
                <w:rPr>
                  <w:rFonts w:ascii="Arial" w:cs="Arial" w:eastAsia="Arial" w:hAnsi="Arial"/>
                  <w:sz w:val="12"/>
                  <w:szCs w:val="12"/>
                  <w:color w:val="0000FF"/>
                  <w:w w:val="94"/>
                </w:rPr>
                <w:t>Certification of Chief Financial Officer pursuant to Rule 13a-14(a).</w:t>
              </w:r>
            </w:hyperlink>
          </w:p>
        </w:tc>
        <w:tc>
          <w:tcPr>
            <w:tcW w:w="20" w:type="dxa"/>
            <w:vAlign w:val="bottom"/>
            <w:tcBorders>
              <w:top w:val="single" w:sz="8" w:color="0000FF"/>
            </w:tcBorders>
          </w:tcPr>
          <w:p>
            <w:pPr>
              <w:spacing w:after="0"/>
              <w:rPr>
                <w:sz w:val="24"/>
                <w:szCs w:val="24"/>
                <w:color w:val="auto"/>
              </w:rPr>
            </w:pPr>
          </w:p>
        </w:tc>
        <w:tc>
          <w:tcPr>
            <w:tcW w:w="3920" w:type="dxa"/>
            <w:vAlign w:val="bottom"/>
            <w:gridSpan w:val="3"/>
          </w:tcPr>
          <w:p>
            <w:pPr>
              <w:spacing w:after="0"/>
              <w:rPr>
                <w:sz w:val="24"/>
                <w:szCs w:val="24"/>
                <w:color w:val="auto"/>
              </w:rPr>
            </w:pPr>
          </w:p>
        </w:tc>
      </w:tr>
      <w:tr>
        <w:trPr>
          <w:trHeight w:val="309"/>
        </w:trPr>
        <w:tc>
          <w:tcPr>
            <w:tcW w:w="440" w:type="dxa"/>
            <w:vAlign w:val="bottom"/>
          </w:tcPr>
          <w:p>
            <w:pPr>
              <w:spacing w:after="0"/>
              <w:rPr>
                <w:sz w:val="20"/>
                <w:szCs w:val="20"/>
                <w:color w:val="auto"/>
              </w:rPr>
            </w:pPr>
            <w:r>
              <w:rPr>
                <w:rFonts w:ascii="Arial" w:cs="Arial" w:eastAsia="Arial" w:hAnsi="Arial"/>
                <w:sz w:val="12"/>
                <w:szCs w:val="12"/>
                <w:color w:val="auto"/>
              </w:rPr>
              <w:t>32.1</w:t>
            </w:r>
          </w:p>
        </w:tc>
        <w:tc>
          <w:tcPr>
            <w:tcW w:w="600" w:type="dxa"/>
            <w:vAlign w:val="bottom"/>
          </w:tcPr>
          <w:p>
            <w:pPr>
              <w:spacing w:after="0"/>
              <w:rPr>
                <w:sz w:val="24"/>
                <w:szCs w:val="24"/>
                <w:color w:val="auto"/>
              </w:rPr>
            </w:pPr>
          </w:p>
        </w:tc>
        <w:tc>
          <w:tcPr>
            <w:tcW w:w="7240" w:type="dxa"/>
            <w:vAlign w:val="bottom"/>
            <w:tcBorders>
              <w:bottom w:val="single" w:sz="8" w:color="0000FF"/>
            </w:tcBorders>
            <w:gridSpan w:val="5"/>
          </w:tcPr>
          <w:p>
            <w:pPr>
              <w:spacing w:after="0"/>
              <w:rPr>
                <w:rFonts w:ascii="Arial" w:cs="Arial" w:eastAsia="Arial" w:hAnsi="Arial"/>
                <w:sz w:val="12"/>
                <w:szCs w:val="12"/>
                <w:color w:val="0000FF"/>
                <w:w w:val="92"/>
              </w:rPr>
            </w:pPr>
            <w:hyperlink w:anchor="page53">
              <w:r>
                <w:rPr>
                  <w:rFonts w:ascii="Arial" w:cs="Arial" w:eastAsia="Arial" w:hAnsi="Arial"/>
                  <w:sz w:val="12"/>
                  <w:szCs w:val="12"/>
                  <w:color w:val="0000FF"/>
                  <w:w w:val="92"/>
                </w:rPr>
                <w:t>Certification of Chief Executive Officer pursuant to 18 U.S.C. Section 1350, as adopted pursuant to Section 906 of the Sarbanes-Oxley Act of 2002.</w:t>
              </w:r>
            </w:hyperlink>
          </w:p>
        </w:tc>
      </w:tr>
      <w:tr>
        <w:trPr>
          <w:trHeight w:val="309"/>
        </w:trPr>
        <w:tc>
          <w:tcPr>
            <w:tcW w:w="440" w:type="dxa"/>
            <w:vAlign w:val="bottom"/>
          </w:tcPr>
          <w:p>
            <w:pPr>
              <w:spacing w:after="0"/>
              <w:rPr>
                <w:sz w:val="20"/>
                <w:szCs w:val="20"/>
                <w:color w:val="auto"/>
              </w:rPr>
            </w:pPr>
            <w:r>
              <w:rPr>
                <w:rFonts w:ascii="Arial" w:cs="Arial" w:eastAsia="Arial" w:hAnsi="Arial"/>
                <w:sz w:val="12"/>
                <w:szCs w:val="12"/>
                <w:color w:val="auto"/>
              </w:rPr>
              <w:t>32.2</w:t>
            </w:r>
          </w:p>
        </w:tc>
        <w:tc>
          <w:tcPr>
            <w:tcW w:w="600" w:type="dxa"/>
            <w:vAlign w:val="bottom"/>
          </w:tcPr>
          <w:p>
            <w:pPr>
              <w:spacing w:after="0"/>
              <w:rPr>
                <w:sz w:val="24"/>
                <w:szCs w:val="24"/>
                <w:color w:val="auto"/>
              </w:rPr>
            </w:pPr>
          </w:p>
        </w:tc>
        <w:tc>
          <w:tcPr>
            <w:tcW w:w="7220" w:type="dxa"/>
            <w:vAlign w:val="bottom"/>
            <w:tcBorders>
              <w:bottom w:val="single" w:sz="8" w:color="0000FF"/>
            </w:tcBorders>
            <w:gridSpan w:val="4"/>
          </w:tcPr>
          <w:p>
            <w:pPr>
              <w:spacing w:after="0"/>
              <w:rPr>
                <w:rFonts w:ascii="Arial" w:cs="Arial" w:eastAsia="Arial" w:hAnsi="Arial"/>
                <w:sz w:val="12"/>
                <w:szCs w:val="12"/>
                <w:color w:val="0000FF"/>
                <w:w w:val="92"/>
              </w:rPr>
            </w:pPr>
            <w:hyperlink w:anchor="page54">
              <w:r>
                <w:rPr>
                  <w:rFonts w:ascii="Arial" w:cs="Arial" w:eastAsia="Arial" w:hAnsi="Arial"/>
                  <w:sz w:val="12"/>
                  <w:szCs w:val="12"/>
                  <w:color w:val="0000FF"/>
                  <w:w w:val="92"/>
                </w:rPr>
                <w:t>Certification of Chief Financial Officer pursuant to 18 U.S.C. Section 1350, as adopted pursuant to Section 906 of the Sarbanes-Oxley Act of 2002.</w:t>
              </w:r>
            </w:hyperlink>
          </w:p>
        </w:tc>
        <w:tc>
          <w:tcPr>
            <w:tcW w:w="20" w:type="dxa"/>
            <w:vAlign w:val="bottom"/>
          </w:tcPr>
          <w:p>
            <w:pPr>
              <w:spacing w:after="0"/>
              <w:rPr>
                <w:sz w:val="24"/>
                <w:szCs w:val="24"/>
                <w:color w:val="auto"/>
              </w:rPr>
            </w:pPr>
          </w:p>
        </w:tc>
      </w:tr>
    </w:tbl>
    <w:p>
      <w:pPr>
        <w:spacing w:after="0" w:line="192" w:lineRule="exact"/>
        <w:rPr>
          <w:sz w:val="20"/>
          <w:szCs w:val="20"/>
          <w:color w:val="auto"/>
        </w:rPr>
      </w:pPr>
    </w:p>
    <w:p>
      <w:pPr>
        <w:ind w:left="1040" w:hanging="1035"/>
        <w:spacing w:after="0" w:line="252" w:lineRule="auto"/>
        <w:tabs>
          <w:tab w:leader="none" w:pos="10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 following financial information from the Company’s Quarterly Report on Form 10-Q for the quarter ended September 30, 2021, formatted in Inline XBRL: (i) Cover Page, (ii) Condensed Consolidated Statements of Earnings, (iii) Condensed Consolidated Statements of Comprehensive Earnings, (iv) Condensed Consolidated Balance Sheets, (v) Condensed Consolidated Statements of Changes in Stockholders' Equity, (vi) Condensed Consolidated Statements of Cash Flows, and (vii) the Notes to Condensed Consolidated Financial Statements, tagged in summary and detail.</w:t>
      </w:r>
    </w:p>
    <w:p>
      <w:pPr>
        <w:spacing w:after="0" w:line="68" w:lineRule="exact"/>
        <w:rPr>
          <w:sz w:val="20"/>
          <w:szCs w:val="20"/>
          <w:color w:val="auto"/>
        </w:rPr>
      </w:pPr>
    </w:p>
    <w:p>
      <w:pPr>
        <w:ind w:left="1040" w:hanging="103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cover page of the Company’s Quarterly Report on Form 10-Q for the quarter ended September 30, 2021, formatted in Inline XBRL (included with the Exhibit 101 attachments).</w:t>
      </w:r>
    </w:p>
    <w:p>
      <w:pPr>
        <w:spacing w:after="0" w:line="6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__________________________</w:t>
      </w:r>
    </w:p>
    <w:p>
      <w:pPr>
        <w:spacing w:after="0" w:line="81" w:lineRule="exact"/>
        <w:rPr>
          <w:rFonts w:ascii="Arial" w:cs="Arial" w:eastAsia="Arial" w:hAnsi="Arial"/>
          <w:sz w:val="12"/>
          <w:szCs w:val="12"/>
          <w:color w:val="auto"/>
        </w:rPr>
      </w:pPr>
    </w:p>
    <w:p>
      <w:pPr>
        <w:ind w:left="700" w:right="20" w:hanging="443"/>
        <w:spacing w:after="0" w:line="283" w:lineRule="auto"/>
        <w:tabs>
          <w:tab w:leader="none" w:pos="433" w:val="left"/>
        </w:tabs>
        <w:numPr>
          <w:ilvl w:val="1"/>
          <w:numId w:val="38"/>
        </w:numPr>
        <w:rPr>
          <w:rFonts w:ascii="Arial" w:cs="Arial" w:eastAsia="Arial" w:hAnsi="Arial"/>
          <w:sz w:val="12"/>
          <w:szCs w:val="12"/>
          <w:color w:val="auto"/>
        </w:rPr>
      </w:pPr>
      <w:r>
        <w:rPr>
          <w:rFonts w:ascii="Arial" w:cs="Arial" w:eastAsia="Arial" w:hAnsi="Arial"/>
          <w:sz w:val="12"/>
          <w:szCs w:val="12"/>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021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060"/>
          </w:cols>
          <w:pgMar w:left="300" w:top="131" w:right="539" w:bottom="1440" w:gutter="0" w:footer="0" w:header="0"/>
        </w:sectPr>
      </w:pPr>
    </w:p>
    <w:bookmarkStart w:id="44" w:name="page45"/>
    <w:bookmarkEnd w:id="4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SIGNATURES</w:t>
      </w: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SUPERNUS PHARMACEUTICALS, INC.</w:t>
      </w:r>
    </w:p>
    <w:p>
      <w:pPr>
        <w:spacing w:after="0" w:line="191" w:lineRule="exact"/>
        <w:rPr>
          <w:sz w:val="20"/>
          <w:szCs w:val="20"/>
          <w:color w:val="auto"/>
        </w:rPr>
      </w:pPr>
    </w:p>
    <w:p>
      <w:pPr>
        <w:spacing w:after="0"/>
        <w:tabs>
          <w:tab w:leader="none" w:pos="5640" w:val="left"/>
          <w:tab w:leader="none" w:pos="6160" w:val="left"/>
        </w:tabs>
        <w:rPr>
          <w:sz w:val="20"/>
          <w:szCs w:val="20"/>
          <w:color w:val="auto"/>
        </w:rPr>
      </w:pPr>
      <w:r>
        <w:rPr>
          <w:rFonts w:ascii="Arial" w:cs="Arial" w:eastAsia="Arial" w:hAnsi="Arial"/>
          <w:sz w:val="12"/>
          <w:szCs w:val="12"/>
          <w:color w:val="auto"/>
        </w:rPr>
        <w:t>DATED: November 5,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10795</wp:posOffset>
            </wp:positionV>
            <wp:extent cx="312039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20390" cy="571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2"/>
          <w:szCs w:val="12"/>
          <w:color w:val="auto"/>
        </w:rPr>
        <w:t>Jack A. Khattar</w:t>
      </w:r>
    </w:p>
    <w:p>
      <w:pPr>
        <w:ind w:left="6180"/>
        <w:spacing w:after="0"/>
        <w:rPr>
          <w:sz w:val="20"/>
          <w:szCs w:val="20"/>
          <w:color w:val="auto"/>
        </w:rPr>
      </w:pPr>
      <w:r>
        <w:rPr>
          <w:rFonts w:ascii="Arial" w:cs="Arial" w:eastAsia="Arial" w:hAnsi="Arial"/>
          <w:sz w:val="12"/>
          <w:szCs w:val="12"/>
          <w:color w:val="auto"/>
        </w:rPr>
        <w:t>President and Chief Executive Officer</w:t>
      </w:r>
    </w:p>
    <w:p>
      <w:pPr>
        <w:spacing w:after="0" w:line="181" w:lineRule="exact"/>
        <w:rPr>
          <w:sz w:val="20"/>
          <w:szCs w:val="20"/>
          <w:color w:val="auto"/>
        </w:rPr>
      </w:pPr>
    </w:p>
    <w:p>
      <w:pPr>
        <w:spacing w:after="0"/>
        <w:tabs>
          <w:tab w:leader="none" w:pos="5640" w:val="left"/>
          <w:tab w:leader="none" w:pos="6160" w:val="left"/>
        </w:tabs>
        <w:rPr>
          <w:sz w:val="20"/>
          <w:szCs w:val="20"/>
          <w:color w:val="auto"/>
        </w:rPr>
      </w:pPr>
      <w:r>
        <w:rPr>
          <w:rFonts w:ascii="Arial" w:cs="Arial" w:eastAsia="Arial" w:hAnsi="Arial"/>
          <w:sz w:val="12"/>
          <w:szCs w:val="12"/>
          <w:color w:val="auto"/>
        </w:rPr>
        <w:t>DATED: November 5,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10795</wp:posOffset>
            </wp:positionV>
            <wp:extent cx="312039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20390" cy="571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2"/>
          <w:szCs w:val="12"/>
          <w:color w:val="auto"/>
        </w:rPr>
        <w:t>Timothy C. Dec</w:t>
      </w:r>
    </w:p>
    <w:p>
      <w:pPr>
        <w:ind w:left="6180"/>
        <w:spacing w:after="0"/>
        <w:rPr>
          <w:sz w:val="20"/>
          <w:szCs w:val="20"/>
          <w:color w:val="auto"/>
        </w:rPr>
      </w:pPr>
      <w:r>
        <w:rPr>
          <w:rFonts w:ascii="Arial" w:cs="Arial" w:eastAsia="Arial" w:hAnsi="Arial"/>
          <w:sz w:val="12"/>
          <w:szCs w:val="12"/>
          <w:color w:val="auto"/>
        </w:rPr>
        <w:t>Senior Vice President and Chief Financial Officer</w:t>
      </w:r>
    </w:p>
    <w:p>
      <w:pPr>
        <w:spacing w:after="0" w:line="200" w:lineRule="exact"/>
        <w:rPr>
          <w:sz w:val="20"/>
          <w:szCs w:val="20"/>
          <w:color w:val="auto"/>
        </w:rPr>
      </w:pP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131" w:right="1440" w:bottom="1440" w:gutter="0" w:footer="0" w:header="0"/>
        </w:sectPr>
      </w:pPr>
    </w:p>
    <w:bookmarkStart w:id="45" w:name="page46"/>
    <w:bookmarkEnd w:id="45"/>
    <w:p>
      <w:pPr>
        <w:jc w:val="center"/>
        <w:ind w:right="-6"/>
        <w:spacing w:after="0"/>
        <w:rPr>
          <w:sz w:val="20"/>
          <w:szCs w:val="20"/>
          <w:color w:val="auto"/>
        </w:rPr>
      </w:pPr>
      <w:r>
        <w:rPr>
          <w:rFonts w:ascii="Arial" w:cs="Arial" w:eastAsia="Arial" w:hAnsi="Arial"/>
          <w:sz w:val="15"/>
          <w:szCs w:val="15"/>
          <w:b w:val="1"/>
          <w:bCs w:val="1"/>
          <w:u w:val="single" w:color="auto"/>
          <w:color w:val="auto"/>
        </w:rPr>
        <w:t>Amendment To DEED OF Lease</w:t>
      </w:r>
    </w:p>
    <w:p>
      <w:pPr>
        <w:spacing w:after="0" w:line="143" w:lineRule="exact"/>
        <w:rPr>
          <w:sz w:val="20"/>
          <w:szCs w:val="20"/>
          <w:color w:val="auto"/>
        </w:rPr>
      </w:pPr>
    </w:p>
    <w:p>
      <w:pPr>
        <w:ind w:left="7" w:right="20" w:firstLine="439"/>
        <w:spacing w:after="0" w:line="248" w:lineRule="auto"/>
        <w:rPr>
          <w:sz w:val="20"/>
          <w:szCs w:val="20"/>
          <w:color w:val="auto"/>
        </w:rPr>
      </w:pPr>
      <w:r>
        <w:rPr>
          <w:rFonts w:ascii="Arial" w:cs="Arial" w:eastAsia="Arial" w:hAnsi="Arial"/>
          <w:sz w:val="15"/>
          <w:szCs w:val="15"/>
          <w:color w:val="auto"/>
        </w:rPr>
        <w:t>THIS AMENDMENT TO DEED OF LEASE (this “Amendment”) is made this 23 day of, August 2021 (the “Effective Date”), by and between KEY WEST MD OWNER LLC, a Delaware limited liability company (“Landlord”), and SUPERNUS PHARMACEUTICALS, INC., a Delaware corporation (“Tenant”).</w:t>
      </w:r>
    </w:p>
    <w:p>
      <w:pPr>
        <w:spacing w:after="0" w:line="11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RECITALS</w:t>
      </w:r>
      <w:r>
        <w:rPr>
          <w:rFonts w:ascii="Arial" w:cs="Arial" w:eastAsia="Arial" w:hAnsi="Arial"/>
          <w:sz w:val="15"/>
          <w:szCs w:val="15"/>
          <w:b w:val="1"/>
          <w:bCs w:val="1"/>
          <w:color w:val="auto"/>
        </w:rPr>
        <w:t>:</w:t>
      </w:r>
    </w:p>
    <w:p>
      <w:pPr>
        <w:spacing w:after="0" w:line="143" w:lineRule="exact"/>
        <w:rPr>
          <w:sz w:val="20"/>
          <w:szCs w:val="20"/>
          <w:color w:val="auto"/>
        </w:rPr>
      </w:pPr>
    </w:p>
    <w:p>
      <w:pPr>
        <w:jc w:val="both"/>
        <w:ind w:left="7" w:firstLine="432"/>
        <w:spacing w:after="0" w:line="239" w:lineRule="auto"/>
        <w:tabs>
          <w:tab w:leader="none" w:pos="881" w:val="left"/>
        </w:tabs>
        <w:numPr>
          <w:ilvl w:val="0"/>
          <w:numId w:val="39"/>
        </w:numPr>
        <w:rPr>
          <w:rFonts w:ascii="Arial" w:cs="Arial" w:eastAsia="Arial" w:hAnsi="Arial"/>
          <w:sz w:val="15"/>
          <w:szCs w:val="15"/>
          <w:color w:val="auto"/>
        </w:rPr>
      </w:pPr>
      <w:r>
        <w:rPr>
          <w:rFonts w:ascii="Arial" w:cs="Arial" w:eastAsia="Arial" w:hAnsi="Arial"/>
          <w:sz w:val="15"/>
          <w:szCs w:val="15"/>
          <w:color w:val="auto"/>
        </w:rPr>
        <w:t>Landlord’s predecessor-in-interest, Advent Key West, LLC, and Tenant entered into that certain Deed of Lease dated January 31, 2019 (the “Lease”), whereby Tenant leased approximately 136,016 rentable square feet of space (the “Original Demised Premises”), in two buildings located at 9715 and 9717 Key West Avenue, Rockville, Maryland (collectively, the “Building”).</w:t>
      </w:r>
    </w:p>
    <w:p>
      <w:pPr>
        <w:spacing w:after="0" w:line="125" w:lineRule="exact"/>
        <w:rPr>
          <w:rFonts w:ascii="Arial" w:cs="Arial" w:eastAsia="Arial" w:hAnsi="Arial"/>
          <w:sz w:val="15"/>
          <w:szCs w:val="15"/>
          <w:color w:val="auto"/>
        </w:rPr>
      </w:pPr>
    </w:p>
    <w:p>
      <w:pPr>
        <w:ind w:left="7" w:firstLine="432"/>
        <w:spacing w:after="0" w:line="229" w:lineRule="auto"/>
        <w:tabs>
          <w:tab w:leader="none" w:pos="882" w:val="left"/>
        </w:tabs>
        <w:numPr>
          <w:ilvl w:val="0"/>
          <w:numId w:val="39"/>
        </w:numPr>
        <w:rPr>
          <w:rFonts w:ascii="Arial" w:cs="Arial" w:eastAsia="Arial" w:hAnsi="Arial"/>
          <w:sz w:val="14"/>
          <w:szCs w:val="14"/>
          <w:color w:val="auto"/>
        </w:rPr>
      </w:pPr>
      <w:r>
        <w:rPr>
          <w:rFonts w:ascii="Arial" w:cs="Arial" w:eastAsia="Arial" w:hAnsi="Arial"/>
          <w:sz w:val="14"/>
          <w:szCs w:val="14"/>
          <w:color w:val="auto"/>
        </w:rPr>
        <w:t>Landlord desires to lease to Tenant and Tenant desires to lease from Landlord, approximately 9,903 square feet of space (the “Expansion Premises”) located on the first (1</w:t>
      </w:r>
      <w:r>
        <w:rPr>
          <w:rFonts w:ascii="Arial" w:cs="Arial" w:eastAsia="Arial" w:hAnsi="Arial"/>
          <w:sz w:val="18"/>
          <w:szCs w:val="18"/>
          <w:color w:val="auto"/>
          <w:vertAlign w:val="superscript"/>
        </w:rPr>
        <w:t>st</w:t>
      </w:r>
      <w:r>
        <w:rPr>
          <w:rFonts w:ascii="Arial" w:cs="Arial" w:eastAsia="Arial" w:hAnsi="Arial"/>
          <w:sz w:val="14"/>
          <w:szCs w:val="14"/>
          <w:color w:val="auto"/>
        </w:rPr>
        <w:t>) floor of the “9717 Building” (as defined in the Lease), which Expansion Premises is more particularly described on Exhibit A which is attached to and made a part hereof.</w:t>
      </w:r>
    </w:p>
    <w:p>
      <w:pPr>
        <w:spacing w:after="0" w:line="124" w:lineRule="exact"/>
        <w:rPr>
          <w:rFonts w:ascii="Arial" w:cs="Arial" w:eastAsia="Arial" w:hAnsi="Arial"/>
          <w:sz w:val="14"/>
          <w:szCs w:val="14"/>
          <w:color w:val="auto"/>
        </w:rPr>
      </w:pPr>
    </w:p>
    <w:p>
      <w:pPr>
        <w:ind w:left="867" w:hanging="428"/>
        <w:spacing w:after="0"/>
        <w:tabs>
          <w:tab w:leader="none" w:pos="8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Landlord and Tenant desire to modify the Lease as set forth below.</w:t>
      </w:r>
    </w:p>
    <w:p>
      <w:pPr>
        <w:spacing w:after="0" w:line="139" w:lineRule="exact"/>
        <w:rPr>
          <w:sz w:val="20"/>
          <w:szCs w:val="20"/>
          <w:color w:val="auto"/>
        </w:rPr>
      </w:pPr>
    </w:p>
    <w:p>
      <w:pPr>
        <w:ind w:left="447"/>
        <w:spacing w:after="0"/>
        <w:rPr>
          <w:sz w:val="20"/>
          <w:szCs w:val="20"/>
          <w:color w:val="auto"/>
        </w:rPr>
      </w:pPr>
      <w:r>
        <w:rPr>
          <w:rFonts w:ascii="Arial" w:cs="Arial" w:eastAsia="Arial" w:hAnsi="Arial"/>
          <w:sz w:val="14"/>
          <w:szCs w:val="14"/>
          <w:color w:val="auto"/>
        </w:rPr>
        <w:t>NOW, THEREFORE, in consideration of the sum of Ten Dollars ($10.00) and other good and valuable consideration, the receipt and sufficiency of which are acknowledged by</w:t>
      </w:r>
    </w:p>
    <w:p>
      <w:pPr>
        <w:spacing w:after="0" w:line="16" w:lineRule="exact"/>
        <w:rPr>
          <w:sz w:val="20"/>
          <w:szCs w:val="20"/>
          <w:color w:val="auto"/>
        </w:rPr>
      </w:pPr>
    </w:p>
    <w:p>
      <w:pPr>
        <w:ind w:left="7"/>
        <w:spacing w:after="0"/>
        <w:rPr>
          <w:sz w:val="20"/>
          <w:szCs w:val="20"/>
          <w:color w:val="auto"/>
        </w:rPr>
      </w:pPr>
      <w:r>
        <w:rPr>
          <w:rFonts w:ascii="Arial" w:cs="Arial" w:eastAsia="Arial" w:hAnsi="Arial"/>
          <w:sz w:val="15"/>
          <w:szCs w:val="15"/>
          <w:color w:val="auto"/>
        </w:rPr>
        <w:t>Landlord and Tenant, Landlord and Tenant covenant and agree as follows:</w:t>
      </w:r>
    </w:p>
    <w:p>
      <w:pPr>
        <w:spacing w:after="0" w:line="127" w:lineRule="exact"/>
        <w:rPr>
          <w:sz w:val="20"/>
          <w:szCs w:val="20"/>
          <w:color w:val="auto"/>
        </w:rPr>
      </w:pPr>
    </w:p>
    <w:p>
      <w:pPr>
        <w:ind w:left="7" w:right="20" w:hanging="7"/>
        <w:spacing w:after="0" w:line="248" w:lineRule="auto"/>
        <w:tabs>
          <w:tab w:leader="none" w:pos="446"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Expansion Premises</w:t>
      </w:r>
      <w:r>
        <w:rPr>
          <w:rFonts w:ascii="Arial" w:cs="Arial" w:eastAsia="Arial" w:hAnsi="Arial"/>
          <w:sz w:val="15"/>
          <w:szCs w:val="15"/>
          <w:color w:val="auto"/>
        </w:rPr>
        <w:t>. Landlord hereby leases to Tenant and Tenant hereby leases from Landlord, the Expansion Premises. Notwithstanding anything in the Lease or in this Amendment to the contrary, Tenant is leasing the Expansion Premises in its as-is condition.</w:t>
      </w:r>
    </w:p>
    <w:p>
      <w:pPr>
        <w:spacing w:after="0" w:line="119" w:lineRule="exact"/>
        <w:rPr>
          <w:rFonts w:ascii="Arial" w:cs="Arial" w:eastAsia="Arial" w:hAnsi="Arial"/>
          <w:sz w:val="15"/>
          <w:szCs w:val="15"/>
          <w:color w:val="auto"/>
        </w:rPr>
      </w:pPr>
    </w:p>
    <w:p>
      <w:pPr>
        <w:ind w:left="7" w:right="20" w:hanging="7"/>
        <w:spacing w:after="0" w:line="248" w:lineRule="auto"/>
        <w:tabs>
          <w:tab w:leader="none" w:pos="446"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The term of the Lease with respect to the Expansion Premises shall commence on September 1, 2021 (the “Expansion Premises Commencement Date”) and shall be coterminous with the “Lease Term” (as defined in the Lease) with respect to the Original Demised Premises.</w:t>
      </w:r>
    </w:p>
    <w:p>
      <w:pPr>
        <w:spacing w:after="0" w:line="119" w:lineRule="exact"/>
        <w:rPr>
          <w:rFonts w:ascii="Arial" w:cs="Arial" w:eastAsia="Arial" w:hAnsi="Arial"/>
          <w:sz w:val="15"/>
          <w:szCs w:val="15"/>
          <w:color w:val="auto"/>
        </w:rPr>
      </w:pPr>
    </w:p>
    <w:p>
      <w:pPr>
        <w:ind w:left="7" w:right="20" w:hanging="7"/>
        <w:spacing w:after="0" w:line="248" w:lineRule="auto"/>
        <w:tabs>
          <w:tab w:leader="none" w:pos="446"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Base Annual Rent</w:t>
      </w:r>
      <w:r>
        <w:rPr>
          <w:rFonts w:ascii="Arial" w:cs="Arial" w:eastAsia="Arial" w:hAnsi="Arial"/>
          <w:sz w:val="15"/>
          <w:szCs w:val="15"/>
          <w:color w:val="auto"/>
        </w:rPr>
        <w:t>. In addition to the “Base Annual Rent” (as defined in the Lease) with respect to the Original Demised Premises, Tenant covenants and agrees to pay Landlord Base Annual Rent with respect to the Expansion Premises (“Expansion Premises Base Annual Rent”) as follows:</w:t>
      </w:r>
    </w:p>
    <w:p>
      <w:pPr>
        <w:spacing w:after="0" w:line="132" w:lineRule="exact"/>
        <w:rPr>
          <w:sz w:val="20"/>
          <w:szCs w:val="20"/>
          <w:color w:val="auto"/>
        </w:rPr>
      </w:pPr>
    </w:p>
    <w:tbl>
      <w:tblPr>
        <w:tblLayout w:type="fixed"/>
        <w:tblInd w:w="217" w:type="dxa"/>
        <w:tblCellMar>
          <w:top w:w="0" w:type="dxa"/>
          <w:left w:w="0" w:type="dxa"/>
          <w:bottom w:w="0" w:type="dxa"/>
          <w:right w:w="0" w:type="dxa"/>
        </w:tblCellMar>
      </w:tblPr>
      <w:tr>
        <w:trPr>
          <w:trHeight w:val="165"/>
        </w:trPr>
        <w:tc>
          <w:tcPr>
            <w:tcW w:w="1180" w:type="dxa"/>
            <w:vAlign w:val="bottom"/>
            <w:tcBorders>
              <w:top w:val="single" w:sz="8" w:color="auto"/>
              <w:left w:val="single" w:sz="8" w:color="auto"/>
            </w:tcBorders>
          </w:tcPr>
          <w:p>
            <w:pPr>
              <w:spacing w:after="0"/>
              <w:rPr>
                <w:sz w:val="14"/>
                <w:szCs w:val="14"/>
                <w:color w:val="auto"/>
              </w:rPr>
            </w:pPr>
          </w:p>
        </w:tc>
        <w:tc>
          <w:tcPr>
            <w:tcW w:w="1620" w:type="dxa"/>
            <w:vAlign w:val="bottom"/>
            <w:tcBorders>
              <w:top w:val="single" w:sz="8" w:color="auto"/>
              <w:right w:val="single" w:sz="8" w:color="auto"/>
            </w:tcBorders>
            <w:gridSpan w:val="2"/>
          </w:tcPr>
          <w:p>
            <w:pPr>
              <w:jc w:val="center"/>
              <w:ind w:right="1200"/>
              <w:spacing w:after="0" w:line="165" w:lineRule="exact"/>
              <w:rPr>
                <w:sz w:val="20"/>
                <w:szCs w:val="20"/>
                <w:color w:val="auto"/>
              </w:rPr>
            </w:pPr>
            <w:r>
              <w:rPr>
                <w:rFonts w:ascii="Arial" w:cs="Arial" w:eastAsia="Arial" w:hAnsi="Arial"/>
                <w:sz w:val="15"/>
                <w:szCs w:val="15"/>
                <w:b w:val="1"/>
                <w:bCs w:val="1"/>
                <w:color w:val="auto"/>
                <w:w w:val="89"/>
              </w:rPr>
              <w:t>Period</w:t>
            </w:r>
          </w:p>
        </w:tc>
        <w:tc>
          <w:tcPr>
            <w:tcW w:w="2300" w:type="dxa"/>
            <w:vAlign w:val="bottom"/>
            <w:tcBorders>
              <w:top w:val="single" w:sz="8" w:color="auto"/>
            </w:tcBorders>
            <w:gridSpan w:val="3"/>
          </w:tcPr>
          <w:p>
            <w:pPr>
              <w:jc w:val="center"/>
              <w:ind w:left="387"/>
              <w:spacing w:after="0" w:line="165" w:lineRule="exact"/>
              <w:rPr>
                <w:sz w:val="20"/>
                <w:szCs w:val="20"/>
                <w:color w:val="auto"/>
              </w:rPr>
            </w:pPr>
            <w:r>
              <w:rPr>
                <w:rFonts w:ascii="Arial" w:cs="Arial" w:eastAsia="Arial" w:hAnsi="Arial"/>
                <w:sz w:val="15"/>
                <w:szCs w:val="15"/>
                <w:b w:val="1"/>
                <w:bCs w:val="1"/>
                <w:color w:val="auto"/>
                <w:w w:val="87"/>
              </w:rPr>
              <w:t>Base Annual Rent</w:t>
            </w:r>
          </w:p>
        </w:tc>
        <w:tc>
          <w:tcPr>
            <w:tcW w:w="5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40" w:type="dxa"/>
            <w:vAlign w:val="bottom"/>
            <w:tcBorders>
              <w:top w:val="single" w:sz="8" w:color="auto"/>
              <w:right w:val="single" w:sz="8" w:color="auto"/>
            </w:tcBorders>
            <w:gridSpan w:val="2"/>
          </w:tcPr>
          <w:p>
            <w:pPr>
              <w:jc w:val="center"/>
              <w:ind w:right="840"/>
              <w:spacing w:after="0" w:line="165" w:lineRule="exact"/>
              <w:rPr>
                <w:sz w:val="20"/>
                <w:szCs w:val="20"/>
                <w:color w:val="auto"/>
              </w:rPr>
            </w:pPr>
            <w:r>
              <w:rPr>
                <w:rFonts w:ascii="Arial" w:cs="Arial" w:eastAsia="Arial" w:hAnsi="Arial"/>
                <w:sz w:val="15"/>
                <w:szCs w:val="15"/>
                <w:b w:val="1"/>
                <w:bCs w:val="1"/>
                <w:color w:val="auto"/>
                <w:w w:val="88"/>
              </w:rPr>
              <w:t>Base Monthly Rent</w:t>
            </w:r>
          </w:p>
        </w:tc>
        <w:tc>
          <w:tcPr>
            <w:tcW w:w="2480" w:type="dxa"/>
            <w:vAlign w:val="bottom"/>
            <w:tcBorders>
              <w:top w:val="single" w:sz="8" w:color="auto"/>
              <w:right w:val="single" w:sz="8" w:color="auto"/>
            </w:tcBorders>
            <w:gridSpan w:val="3"/>
          </w:tcPr>
          <w:p>
            <w:pPr>
              <w:jc w:val="center"/>
              <w:ind w:right="40"/>
              <w:spacing w:after="0" w:line="165" w:lineRule="exact"/>
              <w:rPr>
                <w:sz w:val="20"/>
                <w:szCs w:val="20"/>
                <w:color w:val="auto"/>
              </w:rPr>
            </w:pPr>
            <w:r>
              <w:rPr>
                <w:rFonts w:ascii="Arial" w:cs="Arial" w:eastAsia="Arial" w:hAnsi="Arial"/>
                <w:sz w:val="15"/>
                <w:szCs w:val="15"/>
                <w:b w:val="1"/>
                <w:bCs w:val="1"/>
                <w:color w:val="auto"/>
                <w:w w:val="89"/>
              </w:rPr>
              <w:t>Rent PSF</w:t>
            </w:r>
          </w:p>
        </w:tc>
      </w:tr>
      <w:tr>
        <w:trPr>
          <w:trHeight w:val="26"/>
        </w:trPr>
        <w:tc>
          <w:tcPr>
            <w:tcW w:w="11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158"/>
        </w:trPr>
        <w:tc>
          <w:tcPr>
            <w:tcW w:w="2800" w:type="dxa"/>
            <w:vAlign w:val="bottom"/>
            <w:tcBorders>
              <w:left w:val="single" w:sz="8" w:color="auto"/>
              <w:right w:val="single" w:sz="8" w:color="auto"/>
            </w:tcBorders>
            <w:gridSpan w:val="3"/>
          </w:tcPr>
          <w:p>
            <w:pPr>
              <w:jc w:val="center"/>
              <w:ind w:right="20"/>
              <w:spacing w:after="0" w:line="158" w:lineRule="exact"/>
              <w:rPr>
                <w:sz w:val="20"/>
                <w:szCs w:val="20"/>
                <w:color w:val="auto"/>
              </w:rPr>
            </w:pPr>
            <w:r>
              <w:rPr>
                <w:rFonts w:ascii="Arial" w:cs="Arial" w:eastAsia="Arial" w:hAnsi="Arial"/>
                <w:sz w:val="15"/>
                <w:szCs w:val="15"/>
                <w:color w:val="auto"/>
                <w:w w:val="88"/>
              </w:rPr>
              <w:t>9/1/21-1/31/22</w:t>
            </w:r>
          </w:p>
        </w:tc>
        <w:tc>
          <w:tcPr>
            <w:tcW w:w="1940" w:type="dxa"/>
            <w:vAlign w:val="bottom"/>
            <w:gridSpan w:val="2"/>
          </w:tcPr>
          <w:p>
            <w:pPr>
              <w:jc w:val="center"/>
              <w:ind w:left="747"/>
              <w:spacing w:after="0" w:line="158" w:lineRule="exact"/>
              <w:rPr>
                <w:sz w:val="20"/>
                <w:szCs w:val="20"/>
                <w:color w:val="auto"/>
              </w:rPr>
            </w:pPr>
            <w:r>
              <w:rPr>
                <w:rFonts w:ascii="Arial" w:cs="Arial" w:eastAsia="Arial" w:hAnsi="Arial"/>
                <w:sz w:val="15"/>
                <w:szCs w:val="15"/>
                <w:color w:val="auto"/>
                <w:w w:val="86"/>
              </w:rPr>
              <w:t>$177,758.88</w:t>
            </w:r>
          </w:p>
        </w:tc>
        <w:tc>
          <w:tcPr>
            <w:tcW w:w="36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000" w:type="dxa"/>
            <w:vAlign w:val="bottom"/>
            <w:gridSpan w:val="2"/>
          </w:tcPr>
          <w:p>
            <w:pPr>
              <w:jc w:val="center"/>
              <w:ind w:left="707"/>
              <w:spacing w:after="0" w:line="158" w:lineRule="exact"/>
              <w:rPr>
                <w:sz w:val="20"/>
                <w:szCs w:val="20"/>
                <w:color w:val="auto"/>
              </w:rPr>
            </w:pPr>
            <w:r>
              <w:rPr>
                <w:rFonts w:ascii="Arial" w:cs="Arial" w:eastAsia="Arial" w:hAnsi="Arial"/>
                <w:sz w:val="15"/>
                <w:szCs w:val="15"/>
                <w:color w:val="auto"/>
                <w:w w:val="87"/>
              </w:rPr>
              <w:t>$14,813.24</w:t>
            </w:r>
          </w:p>
        </w:tc>
        <w:tc>
          <w:tcPr>
            <w:tcW w:w="840" w:type="dxa"/>
            <w:vAlign w:val="bottom"/>
            <w:tcBorders>
              <w:right w:val="single" w:sz="8" w:color="auto"/>
            </w:tcBorders>
          </w:tcPr>
          <w:p>
            <w:pPr>
              <w:spacing w:after="0"/>
              <w:rPr>
                <w:sz w:val="13"/>
                <w:szCs w:val="13"/>
                <w:color w:val="auto"/>
              </w:rPr>
            </w:pPr>
          </w:p>
        </w:tc>
        <w:tc>
          <w:tcPr>
            <w:tcW w:w="1520" w:type="dxa"/>
            <w:vAlign w:val="bottom"/>
            <w:gridSpan w:val="2"/>
          </w:tcPr>
          <w:p>
            <w:pPr>
              <w:jc w:val="center"/>
              <w:ind w:left="847"/>
              <w:spacing w:after="0" w:line="158" w:lineRule="exact"/>
              <w:rPr>
                <w:sz w:val="20"/>
                <w:szCs w:val="20"/>
                <w:color w:val="auto"/>
              </w:rPr>
            </w:pPr>
            <w:r>
              <w:rPr>
                <w:rFonts w:ascii="Arial" w:cs="Arial" w:eastAsia="Arial" w:hAnsi="Arial"/>
                <w:sz w:val="15"/>
                <w:szCs w:val="15"/>
                <w:color w:val="auto"/>
                <w:w w:val="87"/>
              </w:rPr>
              <w:t>$17.95</w:t>
            </w:r>
          </w:p>
        </w:tc>
        <w:tc>
          <w:tcPr>
            <w:tcW w:w="960" w:type="dxa"/>
            <w:vAlign w:val="bottom"/>
            <w:tcBorders>
              <w:right w:val="single" w:sz="8" w:color="auto"/>
            </w:tcBorders>
          </w:tcPr>
          <w:p>
            <w:pPr>
              <w:spacing w:after="0"/>
              <w:rPr>
                <w:sz w:val="13"/>
                <w:szCs w:val="13"/>
                <w:color w:val="auto"/>
              </w:rPr>
            </w:pPr>
          </w:p>
        </w:tc>
      </w:tr>
      <w:tr>
        <w:trPr>
          <w:trHeight w:val="192"/>
        </w:trPr>
        <w:tc>
          <w:tcPr>
            <w:tcW w:w="1180" w:type="dxa"/>
            <w:vAlign w:val="bottom"/>
            <w:tcBorders>
              <w:left w:val="single" w:sz="8" w:color="auto"/>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387"/>
              <w:spacing w:after="0"/>
              <w:rPr>
                <w:sz w:val="20"/>
                <w:szCs w:val="20"/>
                <w:color w:val="auto"/>
              </w:rPr>
            </w:pPr>
            <w:r>
              <w:rPr>
                <w:rFonts w:ascii="Arial" w:cs="Arial" w:eastAsia="Arial" w:hAnsi="Arial"/>
                <w:sz w:val="15"/>
                <w:szCs w:val="15"/>
                <w:color w:val="auto"/>
                <w:w w:val="87"/>
              </w:rPr>
              <w:t>(annualized amount)</w:t>
            </w:r>
          </w:p>
        </w:tc>
        <w:tc>
          <w:tcPr>
            <w:tcW w:w="5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r>
      <w:tr>
        <w:trPr>
          <w:trHeight w:val="190"/>
        </w:trPr>
        <w:tc>
          <w:tcPr>
            <w:tcW w:w="280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88"/>
              </w:rPr>
              <w:t>2/1/22-1/31/23</w:t>
            </w:r>
          </w:p>
        </w:tc>
        <w:tc>
          <w:tcPr>
            <w:tcW w:w="1940" w:type="dxa"/>
            <w:vAlign w:val="bottom"/>
            <w:tcBorders>
              <w:bottom w:val="single" w:sz="8" w:color="auto"/>
            </w:tcBorders>
            <w:gridSpan w:val="2"/>
          </w:tcPr>
          <w:p>
            <w:pPr>
              <w:jc w:val="center"/>
              <w:ind w:left="747"/>
              <w:spacing w:after="0"/>
              <w:rPr>
                <w:sz w:val="20"/>
                <w:szCs w:val="20"/>
                <w:color w:val="auto"/>
              </w:rPr>
            </w:pPr>
            <w:r>
              <w:rPr>
                <w:rFonts w:ascii="Arial" w:cs="Arial" w:eastAsia="Arial" w:hAnsi="Arial"/>
                <w:sz w:val="15"/>
                <w:szCs w:val="15"/>
                <w:color w:val="auto"/>
                <w:w w:val="86"/>
              </w:rPr>
              <w:t>$181,323.96</w:t>
            </w: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left="707"/>
              <w:spacing w:after="0"/>
              <w:rPr>
                <w:sz w:val="20"/>
                <w:szCs w:val="20"/>
                <w:color w:val="auto"/>
              </w:rPr>
            </w:pPr>
            <w:r>
              <w:rPr>
                <w:rFonts w:ascii="Arial" w:cs="Arial" w:eastAsia="Arial" w:hAnsi="Arial"/>
                <w:sz w:val="15"/>
                <w:szCs w:val="15"/>
                <w:color w:val="auto"/>
                <w:w w:val="87"/>
              </w:rPr>
              <w:t>$15,110.33</w:t>
            </w:r>
          </w:p>
        </w:tc>
        <w:tc>
          <w:tcPr>
            <w:tcW w:w="84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847"/>
              <w:spacing w:after="0"/>
              <w:rPr>
                <w:sz w:val="20"/>
                <w:szCs w:val="20"/>
                <w:color w:val="auto"/>
              </w:rPr>
            </w:pPr>
            <w:r>
              <w:rPr>
                <w:rFonts w:ascii="Arial" w:cs="Arial" w:eastAsia="Arial" w:hAnsi="Arial"/>
                <w:sz w:val="15"/>
                <w:szCs w:val="15"/>
                <w:color w:val="auto"/>
                <w:w w:val="87"/>
              </w:rPr>
              <w:t>$18.31</w:t>
            </w:r>
          </w:p>
        </w:tc>
        <w:tc>
          <w:tcPr>
            <w:tcW w:w="960" w:type="dxa"/>
            <w:vAlign w:val="bottom"/>
            <w:tcBorders>
              <w:bottom w:val="single" w:sz="8" w:color="auto"/>
              <w:right w:val="single" w:sz="8" w:color="auto"/>
            </w:tcBorders>
          </w:tcPr>
          <w:p>
            <w:pPr>
              <w:spacing w:after="0"/>
              <w:rPr>
                <w:sz w:val="16"/>
                <w:szCs w:val="16"/>
                <w:color w:val="auto"/>
              </w:rPr>
            </w:pPr>
          </w:p>
        </w:tc>
      </w:tr>
      <w:tr>
        <w:trPr>
          <w:trHeight w:val="190"/>
        </w:trPr>
        <w:tc>
          <w:tcPr>
            <w:tcW w:w="280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88"/>
              </w:rPr>
              <w:t>2/1/23-1/31/24</w:t>
            </w:r>
          </w:p>
        </w:tc>
        <w:tc>
          <w:tcPr>
            <w:tcW w:w="1940" w:type="dxa"/>
            <w:vAlign w:val="bottom"/>
            <w:tcBorders>
              <w:bottom w:val="single" w:sz="8" w:color="auto"/>
            </w:tcBorders>
            <w:gridSpan w:val="2"/>
          </w:tcPr>
          <w:p>
            <w:pPr>
              <w:jc w:val="center"/>
              <w:ind w:left="747"/>
              <w:spacing w:after="0"/>
              <w:rPr>
                <w:sz w:val="20"/>
                <w:szCs w:val="20"/>
                <w:color w:val="auto"/>
              </w:rPr>
            </w:pPr>
            <w:r>
              <w:rPr>
                <w:rFonts w:ascii="Arial" w:cs="Arial" w:eastAsia="Arial" w:hAnsi="Arial"/>
                <w:sz w:val="15"/>
                <w:szCs w:val="15"/>
                <w:color w:val="auto"/>
                <w:w w:val="86"/>
              </w:rPr>
              <w:t>$184,889.04</w:t>
            </w: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left="707"/>
              <w:spacing w:after="0"/>
              <w:rPr>
                <w:sz w:val="20"/>
                <w:szCs w:val="20"/>
                <w:color w:val="auto"/>
              </w:rPr>
            </w:pPr>
            <w:r>
              <w:rPr>
                <w:rFonts w:ascii="Arial" w:cs="Arial" w:eastAsia="Arial" w:hAnsi="Arial"/>
                <w:sz w:val="15"/>
                <w:szCs w:val="15"/>
                <w:color w:val="auto"/>
                <w:w w:val="87"/>
              </w:rPr>
              <w:t>$15,407.42</w:t>
            </w:r>
          </w:p>
        </w:tc>
        <w:tc>
          <w:tcPr>
            <w:tcW w:w="84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847"/>
              <w:spacing w:after="0"/>
              <w:rPr>
                <w:sz w:val="20"/>
                <w:szCs w:val="20"/>
                <w:color w:val="auto"/>
              </w:rPr>
            </w:pPr>
            <w:r>
              <w:rPr>
                <w:rFonts w:ascii="Arial" w:cs="Arial" w:eastAsia="Arial" w:hAnsi="Arial"/>
                <w:sz w:val="15"/>
                <w:szCs w:val="15"/>
                <w:color w:val="auto"/>
                <w:w w:val="87"/>
              </w:rPr>
              <w:t>$18.67</w:t>
            </w:r>
          </w:p>
        </w:tc>
        <w:tc>
          <w:tcPr>
            <w:tcW w:w="960" w:type="dxa"/>
            <w:vAlign w:val="bottom"/>
            <w:tcBorders>
              <w:bottom w:val="single" w:sz="8" w:color="auto"/>
              <w:right w:val="single" w:sz="8" w:color="auto"/>
            </w:tcBorders>
          </w:tcPr>
          <w:p>
            <w:pPr>
              <w:spacing w:after="0"/>
              <w:rPr>
                <w:sz w:val="16"/>
                <w:szCs w:val="16"/>
                <w:color w:val="auto"/>
              </w:rPr>
            </w:pPr>
          </w:p>
        </w:tc>
      </w:tr>
      <w:tr>
        <w:trPr>
          <w:trHeight w:val="190"/>
        </w:trPr>
        <w:tc>
          <w:tcPr>
            <w:tcW w:w="280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88"/>
              </w:rPr>
              <w:t>2/1/24-1/31/25</w:t>
            </w:r>
          </w:p>
        </w:tc>
        <w:tc>
          <w:tcPr>
            <w:tcW w:w="1940" w:type="dxa"/>
            <w:vAlign w:val="bottom"/>
            <w:tcBorders>
              <w:bottom w:val="single" w:sz="8" w:color="auto"/>
            </w:tcBorders>
            <w:gridSpan w:val="2"/>
          </w:tcPr>
          <w:p>
            <w:pPr>
              <w:jc w:val="center"/>
              <w:ind w:left="747"/>
              <w:spacing w:after="0"/>
              <w:rPr>
                <w:sz w:val="20"/>
                <w:szCs w:val="20"/>
                <w:color w:val="auto"/>
              </w:rPr>
            </w:pPr>
            <w:r>
              <w:rPr>
                <w:rFonts w:ascii="Arial" w:cs="Arial" w:eastAsia="Arial" w:hAnsi="Arial"/>
                <w:sz w:val="15"/>
                <w:szCs w:val="15"/>
                <w:color w:val="auto"/>
                <w:w w:val="86"/>
              </w:rPr>
              <w:t>$188,652.12</w:t>
            </w: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left="707"/>
              <w:spacing w:after="0"/>
              <w:rPr>
                <w:sz w:val="20"/>
                <w:szCs w:val="20"/>
                <w:color w:val="auto"/>
              </w:rPr>
            </w:pPr>
            <w:r>
              <w:rPr>
                <w:rFonts w:ascii="Arial" w:cs="Arial" w:eastAsia="Arial" w:hAnsi="Arial"/>
                <w:sz w:val="15"/>
                <w:szCs w:val="15"/>
                <w:color w:val="auto"/>
                <w:w w:val="87"/>
              </w:rPr>
              <w:t>$15,721.01</w:t>
            </w:r>
          </w:p>
        </w:tc>
        <w:tc>
          <w:tcPr>
            <w:tcW w:w="84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847"/>
              <w:spacing w:after="0"/>
              <w:rPr>
                <w:sz w:val="20"/>
                <w:szCs w:val="20"/>
                <w:color w:val="auto"/>
              </w:rPr>
            </w:pPr>
            <w:r>
              <w:rPr>
                <w:rFonts w:ascii="Arial" w:cs="Arial" w:eastAsia="Arial" w:hAnsi="Arial"/>
                <w:sz w:val="15"/>
                <w:szCs w:val="15"/>
                <w:color w:val="auto"/>
                <w:w w:val="87"/>
              </w:rPr>
              <w:t>$19.05</w:t>
            </w:r>
          </w:p>
        </w:tc>
        <w:tc>
          <w:tcPr>
            <w:tcW w:w="960" w:type="dxa"/>
            <w:vAlign w:val="bottom"/>
            <w:tcBorders>
              <w:bottom w:val="single" w:sz="8" w:color="auto"/>
              <w:right w:val="single" w:sz="8" w:color="auto"/>
            </w:tcBorders>
          </w:tcPr>
          <w:p>
            <w:pPr>
              <w:spacing w:after="0"/>
              <w:rPr>
                <w:sz w:val="16"/>
                <w:szCs w:val="16"/>
                <w:color w:val="auto"/>
              </w:rPr>
            </w:pPr>
          </w:p>
        </w:tc>
      </w:tr>
      <w:tr>
        <w:trPr>
          <w:trHeight w:val="190"/>
        </w:trPr>
        <w:tc>
          <w:tcPr>
            <w:tcW w:w="280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88"/>
              </w:rPr>
              <w:t>2/1/25-1/31/26</w:t>
            </w:r>
          </w:p>
        </w:tc>
        <w:tc>
          <w:tcPr>
            <w:tcW w:w="1940" w:type="dxa"/>
            <w:vAlign w:val="bottom"/>
            <w:tcBorders>
              <w:bottom w:val="single" w:sz="8" w:color="auto"/>
            </w:tcBorders>
            <w:gridSpan w:val="2"/>
          </w:tcPr>
          <w:p>
            <w:pPr>
              <w:jc w:val="center"/>
              <w:ind w:left="747"/>
              <w:spacing w:after="0"/>
              <w:rPr>
                <w:sz w:val="20"/>
                <w:szCs w:val="20"/>
                <w:color w:val="auto"/>
              </w:rPr>
            </w:pPr>
            <w:r>
              <w:rPr>
                <w:rFonts w:ascii="Arial" w:cs="Arial" w:eastAsia="Arial" w:hAnsi="Arial"/>
                <w:sz w:val="15"/>
                <w:szCs w:val="15"/>
                <w:color w:val="auto"/>
                <w:w w:val="86"/>
              </w:rPr>
              <w:t>$192,415.32</w:t>
            </w: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left="707"/>
              <w:spacing w:after="0"/>
              <w:rPr>
                <w:sz w:val="20"/>
                <w:szCs w:val="20"/>
                <w:color w:val="auto"/>
              </w:rPr>
            </w:pPr>
            <w:r>
              <w:rPr>
                <w:rFonts w:ascii="Arial" w:cs="Arial" w:eastAsia="Arial" w:hAnsi="Arial"/>
                <w:sz w:val="15"/>
                <w:szCs w:val="15"/>
                <w:color w:val="auto"/>
                <w:w w:val="87"/>
              </w:rPr>
              <w:t>$16,034.61</w:t>
            </w:r>
          </w:p>
        </w:tc>
        <w:tc>
          <w:tcPr>
            <w:tcW w:w="84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847"/>
              <w:spacing w:after="0"/>
              <w:rPr>
                <w:sz w:val="20"/>
                <w:szCs w:val="20"/>
                <w:color w:val="auto"/>
              </w:rPr>
            </w:pPr>
            <w:r>
              <w:rPr>
                <w:rFonts w:ascii="Arial" w:cs="Arial" w:eastAsia="Arial" w:hAnsi="Arial"/>
                <w:sz w:val="15"/>
                <w:szCs w:val="15"/>
                <w:color w:val="auto"/>
                <w:w w:val="87"/>
              </w:rPr>
              <w:t>$19.43</w:t>
            </w:r>
          </w:p>
        </w:tc>
        <w:tc>
          <w:tcPr>
            <w:tcW w:w="960" w:type="dxa"/>
            <w:vAlign w:val="bottom"/>
            <w:tcBorders>
              <w:bottom w:val="single" w:sz="8" w:color="auto"/>
              <w:right w:val="single" w:sz="8" w:color="auto"/>
            </w:tcBorders>
          </w:tcPr>
          <w:p>
            <w:pPr>
              <w:spacing w:after="0"/>
              <w:rPr>
                <w:sz w:val="16"/>
                <w:szCs w:val="16"/>
                <w:color w:val="auto"/>
              </w:rPr>
            </w:pPr>
          </w:p>
        </w:tc>
      </w:tr>
      <w:tr>
        <w:trPr>
          <w:trHeight w:val="190"/>
        </w:trPr>
        <w:tc>
          <w:tcPr>
            <w:tcW w:w="280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88"/>
              </w:rPr>
              <w:t>2/1/26-1/31/27</w:t>
            </w:r>
          </w:p>
        </w:tc>
        <w:tc>
          <w:tcPr>
            <w:tcW w:w="1940" w:type="dxa"/>
            <w:vAlign w:val="bottom"/>
            <w:tcBorders>
              <w:bottom w:val="single" w:sz="8" w:color="auto"/>
            </w:tcBorders>
            <w:gridSpan w:val="2"/>
          </w:tcPr>
          <w:p>
            <w:pPr>
              <w:jc w:val="center"/>
              <w:ind w:left="747"/>
              <w:spacing w:after="0"/>
              <w:rPr>
                <w:sz w:val="20"/>
                <w:szCs w:val="20"/>
                <w:color w:val="auto"/>
              </w:rPr>
            </w:pPr>
            <w:r>
              <w:rPr>
                <w:rFonts w:ascii="Arial" w:cs="Arial" w:eastAsia="Arial" w:hAnsi="Arial"/>
                <w:sz w:val="15"/>
                <w:szCs w:val="15"/>
                <w:color w:val="auto"/>
                <w:w w:val="86"/>
              </w:rPr>
              <w:t>$196,178.40</w:t>
            </w: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left="707"/>
              <w:spacing w:after="0"/>
              <w:rPr>
                <w:sz w:val="20"/>
                <w:szCs w:val="20"/>
                <w:color w:val="auto"/>
              </w:rPr>
            </w:pPr>
            <w:r>
              <w:rPr>
                <w:rFonts w:ascii="Arial" w:cs="Arial" w:eastAsia="Arial" w:hAnsi="Arial"/>
                <w:sz w:val="15"/>
                <w:szCs w:val="15"/>
                <w:color w:val="auto"/>
                <w:w w:val="87"/>
              </w:rPr>
              <w:t>$16,348.20</w:t>
            </w:r>
          </w:p>
        </w:tc>
        <w:tc>
          <w:tcPr>
            <w:tcW w:w="84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847"/>
              <w:spacing w:after="0"/>
              <w:rPr>
                <w:sz w:val="20"/>
                <w:szCs w:val="20"/>
                <w:color w:val="auto"/>
              </w:rPr>
            </w:pPr>
            <w:r>
              <w:rPr>
                <w:rFonts w:ascii="Arial" w:cs="Arial" w:eastAsia="Arial" w:hAnsi="Arial"/>
                <w:sz w:val="15"/>
                <w:szCs w:val="15"/>
                <w:color w:val="auto"/>
                <w:w w:val="87"/>
              </w:rPr>
              <w:t>$19.81</w:t>
            </w:r>
          </w:p>
        </w:tc>
        <w:tc>
          <w:tcPr>
            <w:tcW w:w="960" w:type="dxa"/>
            <w:vAlign w:val="bottom"/>
            <w:tcBorders>
              <w:bottom w:val="single" w:sz="8" w:color="auto"/>
              <w:right w:val="single" w:sz="8" w:color="auto"/>
            </w:tcBorders>
          </w:tcPr>
          <w:p>
            <w:pPr>
              <w:spacing w:after="0"/>
              <w:rPr>
                <w:sz w:val="16"/>
                <w:szCs w:val="16"/>
                <w:color w:val="auto"/>
              </w:rPr>
            </w:pPr>
          </w:p>
        </w:tc>
      </w:tr>
      <w:tr>
        <w:trPr>
          <w:trHeight w:val="926"/>
        </w:trPr>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ind w:right="47"/>
              <w:spacing w:after="0"/>
              <w:rPr>
                <w:sz w:val="20"/>
                <w:szCs w:val="20"/>
                <w:color w:val="auto"/>
              </w:rPr>
            </w:pPr>
            <w:r>
              <w:rPr>
                <w:rFonts w:ascii="Arial" w:cs="Arial" w:eastAsia="Arial" w:hAnsi="Arial"/>
                <w:sz w:val="15"/>
                <w:szCs w:val="15"/>
                <w:color w:val="auto"/>
              </w:rPr>
              <w:t>1</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07"/>
          </w:cols>
          <w:pgMar w:left="293" w:top="908" w:right="299" w:bottom="1440" w:gutter="0" w:footer="0" w:header="0"/>
        </w:sectPr>
      </w:pPr>
    </w:p>
    <w:bookmarkStart w:id="46" w:name="page47"/>
    <w:bookmarkEnd w:id="46"/>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05"/>
        </w:trPr>
        <w:tc>
          <w:tcPr>
            <w:tcW w:w="2800" w:type="dxa"/>
            <w:vAlign w:val="bottom"/>
            <w:tcBorders>
              <w:top w:val="single" w:sz="8" w:color="auto"/>
              <w:left w:val="single" w:sz="8" w:color="auto"/>
              <w:bottom w:val="single" w:sz="8" w:color="auto"/>
              <w:right w:val="single" w:sz="8" w:color="auto"/>
            </w:tcBorders>
          </w:tcPr>
          <w:p>
            <w:pPr>
              <w:jc w:val="right"/>
              <w:ind w:right="907"/>
              <w:spacing w:after="0"/>
              <w:rPr>
                <w:sz w:val="20"/>
                <w:szCs w:val="20"/>
                <w:color w:val="auto"/>
              </w:rPr>
            </w:pPr>
            <w:r>
              <w:rPr>
                <w:rFonts w:ascii="Arial" w:cs="Arial" w:eastAsia="Arial" w:hAnsi="Arial"/>
                <w:sz w:val="15"/>
                <w:szCs w:val="15"/>
                <w:color w:val="auto"/>
              </w:rPr>
              <w:t>2/1/27-1/31/28</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$200,139.60</w:t>
            </w:r>
          </w:p>
        </w:tc>
        <w:tc>
          <w:tcPr>
            <w:tcW w:w="2840" w:type="dxa"/>
            <w:vAlign w:val="bottom"/>
            <w:tcBorders>
              <w:top w:val="single" w:sz="8" w:color="auto"/>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rPr>
              <w:t>$16,678.30</w:t>
            </w:r>
          </w:p>
        </w:tc>
        <w:tc>
          <w:tcPr>
            <w:tcW w:w="2480" w:type="dxa"/>
            <w:vAlign w:val="bottom"/>
            <w:tcBorders>
              <w:top w:val="single" w:sz="8" w:color="auto"/>
              <w:bottom w:val="single" w:sz="8" w:color="auto"/>
              <w:right w:val="single" w:sz="8" w:color="auto"/>
            </w:tcBorders>
          </w:tcPr>
          <w:p>
            <w:pPr>
              <w:jc w:val="right"/>
              <w:ind w:right="987"/>
              <w:spacing w:after="0"/>
              <w:rPr>
                <w:sz w:val="20"/>
                <w:szCs w:val="20"/>
                <w:color w:val="auto"/>
              </w:rPr>
            </w:pPr>
            <w:r>
              <w:rPr>
                <w:rFonts w:ascii="Arial" w:cs="Arial" w:eastAsia="Arial" w:hAnsi="Arial"/>
                <w:sz w:val="15"/>
                <w:szCs w:val="15"/>
                <w:color w:val="auto"/>
              </w:rPr>
              <w:t>$20.21</w:t>
            </w:r>
          </w:p>
        </w:tc>
      </w:tr>
      <w:tr>
        <w:trPr>
          <w:trHeight w:val="190"/>
        </w:trPr>
        <w:tc>
          <w:tcPr>
            <w:tcW w:w="2800" w:type="dxa"/>
            <w:vAlign w:val="bottom"/>
            <w:tcBorders>
              <w:left w:val="single" w:sz="8" w:color="auto"/>
              <w:bottom w:val="single" w:sz="8" w:color="auto"/>
              <w:right w:val="single" w:sz="8" w:color="auto"/>
            </w:tcBorders>
          </w:tcPr>
          <w:p>
            <w:pPr>
              <w:jc w:val="right"/>
              <w:ind w:right="907"/>
              <w:spacing w:after="0"/>
              <w:rPr>
                <w:sz w:val="20"/>
                <w:szCs w:val="20"/>
                <w:color w:val="auto"/>
              </w:rPr>
            </w:pPr>
            <w:r>
              <w:rPr>
                <w:rFonts w:ascii="Arial" w:cs="Arial" w:eastAsia="Arial" w:hAnsi="Arial"/>
                <w:sz w:val="15"/>
                <w:szCs w:val="15"/>
                <w:color w:val="auto"/>
              </w:rPr>
              <w:t>2/1/28-1/31/29</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$204,199.92</w:t>
            </w:r>
          </w:p>
        </w:tc>
        <w:tc>
          <w:tcPr>
            <w:tcW w:w="284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rPr>
              <w:t>$17,016.66</w:t>
            </w:r>
          </w:p>
        </w:tc>
        <w:tc>
          <w:tcPr>
            <w:tcW w:w="2480" w:type="dxa"/>
            <w:vAlign w:val="bottom"/>
            <w:tcBorders>
              <w:bottom w:val="single" w:sz="8" w:color="auto"/>
              <w:right w:val="single" w:sz="8" w:color="auto"/>
            </w:tcBorders>
          </w:tcPr>
          <w:p>
            <w:pPr>
              <w:jc w:val="right"/>
              <w:ind w:right="987"/>
              <w:spacing w:after="0"/>
              <w:rPr>
                <w:sz w:val="20"/>
                <w:szCs w:val="20"/>
                <w:color w:val="auto"/>
              </w:rPr>
            </w:pPr>
            <w:r>
              <w:rPr>
                <w:rFonts w:ascii="Arial" w:cs="Arial" w:eastAsia="Arial" w:hAnsi="Arial"/>
                <w:sz w:val="15"/>
                <w:szCs w:val="15"/>
                <w:color w:val="auto"/>
              </w:rPr>
              <w:t>$20.62</w:t>
            </w:r>
          </w:p>
        </w:tc>
      </w:tr>
      <w:tr>
        <w:trPr>
          <w:trHeight w:val="190"/>
        </w:trPr>
        <w:tc>
          <w:tcPr>
            <w:tcW w:w="2800" w:type="dxa"/>
            <w:vAlign w:val="bottom"/>
            <w:tcBorders>
              <w:left w:val="single" w:sz="8" w:color="auto"/>
              <w:bottom w:val="single" w:sz="8" w:color="auto"/>
              <w:right w:val="single" w:sz="8" w:color="auto"/>
            </w:tcBorders>
          </w:tcPr>
          <w:p>
            <w:pPr>
              <w:jc w:val="right"/>
              <w:ind w:right="907"/>
              <w:spacing w:after="0"/>
              <w:rPr>
                <w:sz w:val="20"/>
                <w:szCs w:val="20"/>
                <w:color w:val="auto"/>
              </w:rPr>
            </w:pPr>
            <w:r>
              <w:rPr>
                <w:rFonts w:ascii="Arial" w:cs="Arial" w:eastAsia="Arial" w:hAnsi="Arial"/>
                <w:sz w:val="15"/>
                <w:szCs w:val="15"/>
                <w:color w:val="auto"/>
              </w:rPr>
              <w:t>2/1/29-1/31/30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$208,260.12</w:t>
            </w:r>
          </w:p>
        </w:tc>
        <w:tc>
          <w:tcPr>
            <w:tcW w:w="284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rPr>
              <w:t>$17,355.01</w:t>
            </w:r>
          </w:p>
        </w:tc>
        <w:tc>
          <w:tcPr>
            <w:tcW w:w="2480" w:type="dxa"/>
            <w:vAlign w:val="bottom"/>
            <w:tcBorders>
              <w:bottom w:val="single" w:sz="8" w:color="auto"/>
              <w:right w:val="single" w:sz="8" w:color="auto"/>
            </w:tcBorders>
          </w:tcPr>
          <w:p>
            <w:pPr>
              <w:jc w:val="right"/>
              <w:ind w:right="987"/>
              <w:spacing w:after="0"/>
              <w:rPr>
                <w:sz w:val="20"/>
                <w:szCs w:val="20"/>
                <w:color w:val="auto"/>
              </w:rPr>
            </w:pPr>
            <w:r>
              <w:rPr>
                <w:rFonts w:ascii="Arial" w:cs="Arial" w:eastAsia="Arial" w:hAnsi="Arial"/>
                <w:sz w:val="15"/>
                <w:szCs w:val="15"/>
                <w:color w:val="auto"/>
              </w:rPr>
              <w:t>$21.03</w:t>
            </w:r>
          </w:p>
        </w:tc>
      </w:tr>
      <w:tr>
        <w:trPr>
          <w:trHeight w:val="190"/>
        </w:trPr>
        <w:tc>
          <w:tcPr>
            <w:tcW w:w="2800" w:type="dxa"/>
            <w:vAlign w:val="bottom"/>
            <w:tcBorders>
              <w:left w:val="single" w:sz="8" w:color="auto"/>
              <w:bottom w:val="single" w:sz="8" w:color="auto"/>
              <w:right w:val="single" w:sz="8" w:color="auto"/>
            </w:tcBorders>
          </w:tcPr>
          <w:p>
            <w:pPr>
              <w:jc w:val="right"/>
              <w:ind w:right="907"/>
              <w:spacing w:after="0"/>
              <w:rPr>
                <w:sz w:val="20"/>
                <w:szCs w:val="20"/>
                <w:color w:val="auto"/>
              </w:rPr>
            </w:pPr>
            <w:r>
              <w:rPr>
                <w:rFonts w:ascii="Arial" w:cs="Arial" w:eastAsia="Arial" w:hAnsi="Arial"/>
                <w:sz w:val="15"/>
                <w:szCs w:val="15"/>
                <w:color w:val="auto"/>
              </w:rPr>
              <w:t>2/1/30-1/31/31</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$212,419.32</w:t>
            </w:r>
          </w:p>
        </w:tc>
        <w:tc>
          <w:tcPr>
            <w:tcW w:w="284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rPr>
              <w:t>$17,701.61</w:t>
            </w:r>
          </w:p>
        </w:tc>
        <w:tc>
          <w:tcPr>
            <w:tcW w:w="2480" w:type="dxa"/>
            <w:vAlign w:val="bottom"/>
            <w:tcBorders>
              <w:bottom w:val="single" w:sz="8" w:color="auto"/>
              <w:right w:val="single" w:sz="8" w:color="auto"/>
            </w:tcBorders>
          </w:tcPr>
          <w:p>
            <w:pPr>
              <w:jc w:val="right"/>
              <w:ind w:right="987"/>
              <w:spacing w:after="0"/>
              <w:rPr>
                <w:sz w:val="20"/>
                <w:szCs w:val="20"/>
                <w:color w:val="auto"/>
              </w:rPr>
            </w:pPr>
            <w:r>
              <w:rPr>
                <w:rFonts w:ascii="Arial" w:cs="Arial" w:eastAsia="Arial" w:hAnsi="Arial"/>
                <w:sz w:val="15"/>
                <w:szCs w:val="15"/>
                <w:color w:val="auto"/>
              </w:rPr>
              <w:t>$21.45</w:t>
            </w:r>
          </w:p>
        </w:tc>
      </w:tr>
      <w:tr>
        <w:trPr>
          <w:trHeight w:val="190"/>
        </w:trPr>
        <w:tc>
          <w:tcPr>
            <w:tcW w:w="2800" w:type="dxa"/>
            <w:vAlign w:val="bottom"/>
            <w:tcBorders>
              <w:left w:val="single" w:sz="8" w:color="auto"/>
              <w:bottom w:val="single" w:sz="8" w:color="auto"/>
              <w:right w:val="single" w:sz="8" w:color="auto"/>
            </w:tcBorders>
          </w:tcPr>
          <w:p>
            <w:pPr>
              <w:jc w:val="right"/>
              <w:ind w:right="907"/>
              <w:spacing w:after="0"/>
              <w:rPr>
                <w:sz w:val="20"/>
                <w:szCs w:val="20"/>
                <w:color w:val="auto"/>
              </w:rPr>
            </w:pPr>
            <w:r>
              <w:rPr>
                <w:rFonts w:ascii="Arial" w:cs="Arial" w:eastAsia="Arial" w:hAnsi="Arial"/>
                <w:sz w:val="15"/>
                <w:szCs w:val="15"/>
                <w:color w:val="auto"/>
              </w:rPr>
              <w:t>2/1/32-1/31/32</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$216,677.64</w:t>
            </w:r>
          </w:p>
        </w:tc>
        <w:tc>
          <w:tcPr>
            <w:tcW w:w="284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rPr>
              <w:t>$18,056.47</w:t>
            </w:r>
          </w:p>
        </w:tc>
        <w:tc>
          <w:tcPr>
            <w:tcW w:w="2480" w:type="dxa"/>
            <w:vAlign w:val="bottom"/>
            <w:tcBorders>
              <w:bottom w:val="single" w:sz="8" w:color="auto"/>
              <w:right w:val="single" w:sz="8" w:color="auto"/>
            </w:tcBorders>
          </w:tcPr>
          <w:p>
            <w:pPr>
              <w:jc w:val="right"/>
              <w:ind w:right="987"/>
              <w:spacing w:after="0"/>
              <w:rPr>
                <w:sz w:val="20"/>
                <w:szCs w:val="20"/>
                <w:color w:val="auto"/>
              </w:rPr>
            </w:pPr>
            <w:r>
              <w:rPr>
                <w:rFonts w:ascii="Arial" w:cs="Arial" w:eastAsia="Arial" w:hAnsi="Arial"/>
                <w:sz w:val="15"/>
                <w:szCs w:val="15"/>
                <w:color w:val="auto"/>
              </w:rPr>
              <w:t>$21.88</w:t>
            </w:r>
          </w:p>
        </w:tc>
      </w:tr>
      <w:tr>
        <w:trPr>
          <w:trHeight w:val="190"/>
        </w:trPr>
        <w:tc>
          <w:tcPr>
            <w:tcW w:w="2800" w:type="dxa"/>
            <w:vAlign w:val="bottom"/>
            <w:tcBorders>
              <w:left w:val="single" w:sz="8" w:color="auto"/>
              <w:bottom w:val="single" w:sz="8" w:color="auto"/>
              <w:right w:val="single" w:sz="8" w:color="auto"/>
            </w:tcBorders>
          </w:tcPr>
          <w:p>
            <w:pPr>
              <w:jc w:val="right"/>
              <w:ind w:right="907"/>
              <w:spacing w:after="0"/>
              <w:rPr>
                <w:sz w:val="20"/>
                <w:szCs w:val="20"/>
                <w:color w:val="auto"/>
              </w:rPr>
            </w:pPr>
            <w:r>
              <w:rPr>
                <w:rFonts w:ascii="Arial" w:cs="Arial" w:eastAsia="Arial" w:hAnsi="Arial"/>
                <w:sz w:val="15"/>
                <w:szCs w:val="15"/>
                <w:color w:val="auto"/>
              </w:rPr>
              <w:t>2/1/32-1/31/33</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$220,935.96</w:t>
            </w:r>
          </w:p>
        </w:tc>
        <w:tc>
          <w:tcPr>
            <w:tcW w:w="284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rPr>
              <w:t>$18,411.33</w:t>
            </w:r>
          </w:p>
        </w:tc>
        <w:tc>
          <w:tcPr>
            <w:tcW w:w="2480" w:type="dxa"/>
            <w:vAlign w:val="bottom"/>
            <w:tcBorders>
              <w:bottom w:val="single" w:sz="8" w:color="auto"/>
              <w:right w:val="single" w:sz="8" w:color="auto"/>
            </w:tcBorders>
          </w:tcPr>
          <w:p>
            <w:pPr>
              <w:jc w:val="right"/>
              <w:ind w:right="987"/>
              <w:spacing w:after="0"/>
              <w:rPr>
                <w:sz w:val="20"/>
                <w:szCs w:val="20"/>
                <w:color w:val="auto"/>
              </w:rPr>
            </w:pPr>
            <w:r>
              <w:rPr>
                <w:rFonts w:ascii="Arial" w:cs="Arial" w:eastAsia="Arial" w:hAnsi="Arial"/>
                <w:sz w:val="15"/>
                <w:szCs w:val="15"/>
                <w:color w:val="auto"/>
              </w:rPr>
              <w:t>$22.31</w:t>
            </w:r>
          </w:p>
        </w:tc>
      </w:tr>
      <w:tr>
        <w:trPr>
          <w:trHeight w:val="190"/>
        </w:trPr>
        <w:tc>
          <w:tcPr>
            <w:tcW w:w="2800" w:type="dxa"/>
            <w:vAlign w:val="bottom"/>
            <w:tcBorders>
              <w:left w:val="single" w:sz="8" w:color="auto"/>
              <w:bottom w:val="single" w:sz="8" w:color="auto"/>
              <w:right w:val="single" w:sz="8" w:color="auto"/>
            </w:tcBorders>
          </w:tcPr>
          <w:p>
            <w:pPr>
              <w:jc w:val="right"/>
              <w:ind w:right="907"/>
              <w:spacing w:after="0"/>
              <w:rPr>
                <w:sz w:val="20"/>
                <w:szCs w:val="20"/>
                <w:color w:val="auto"/>
              </w:rPr>
            </w:pPr>
            <w:r>
              <w:rPr>
                <w:rFonts w:ascii="Arial" w:cs="Arial" w:eastAsia="Arial" w:hAnsi="Arial"/>
                <w:sz w:val="15"/>
                <w:szCs w:val="15"/>
                <w:color w:val="auto"/>
              </w:rPr>
              <w:t>2/1/33-1/31/24</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$225,392.28</w:t>
            </w:r>
          </w:p>
        </w:tc>
        <w:tc>
          <w:tcPr>
            <w:tcW w:w="2840" w:type="dxa"/>
            <w:vAlign w:val="bottom"/>
            <w:tcBorders>
              <w:bottom w:val="single" w:sz="8" w:color="auto"/>
              <w:right w:val="single" w:sz="8" w:color="auto"/>
            </w:tcBorders>
          </w:tcPr>
          <w:p>
            <w:pPr>
              <w:jc w:val="right"/>
              <w:ind w:right="1047"/>
              <w:spacing w:after="0"/>
              <w:rPr>
                <w:sz w:val="20"/>
                <w:szCs w:val="20"/>
                <w:color w:val="auto"/>
              </w:rPr>
            </w:pPr>
            <w:r>
              <w:rPr>
                <w:rFonts w:ascii="Arial" w:cs="Arial" w:eastAsia="Arial" w:hAnsi="Arial"/>
                <w:sz w:val="15"/>
                <w:szCs w:val="15"/>
                <w:color w:val="auto"/>
              </w:rPr>
              <w:t>$18,782.69</w:t>
            </w:r>
          </w:p>
        </w:tc>
        <w:tc>
          <w:tcPr>
            <w:tcW w:w="2480" w:type="dxa"/>
            <w:vAlign w:val="bottom"/>
            <w:tcBorders>
              <w:bottom w:val="single" w:sz="8" w:color="auto"/>
              <w:right w:val="single" w:sz="8" w:color="auto"/>
            </w:tcBorders>
          </w:tcPr>
          <w:p>
            <w:pPr>
              <w:jc w:val="right"/>
              <w:ind w:right="987"/>
              <w:spacing w:after="0"/>
              <w:rPr>
                <w:sz w:val="20"/>
                <w:szCs w:val="20"/>
                <w:color w:val="auto"/>
              </w:rPr>
            </w:pPr>
            <w:r>
              <w:rPr>
                <w:rFonts w:ascii="Arial" w:cs="Arial" w:eastAsia="Arial" w:hAnsi="Arial"/>
                <w:sz w:val="15"/>
                <w:szCs w:val="15"/>
                <w:color w:val="auto"/>
              </w:rPr>
              <w:t>$22.76</w:t>
            </w:r>
          </w:p>
        </w:tc>
      </w:tr>
      <w:tr>
        <w:trPr>
          <w:trHeight w:val="163"/>
        </w:trPr>
        <w:tc>
          <w:tcPr>
            <w:tcW w:w="2800" w:type="dxa"/>
            <w:vAlign w:val="bottom"/>
            <w:tcBorders>
              <w:left w:val="single" w:sz="8" w:color="auto"/>
              <w:right w:val="single" w:sz="8" w:color="auto"/>
            </w:tcBorders>
          </w:tcPr>
          <w:p>
            <w:pPr>
              <w:jc w:val="right"/>
              <w:ind w:right="907"/>
              <w:spacing w:after="0" w:line="164" w:lineRule="exact"/>
              <w:rPr>
                <w:sz w:val="20"/>
                <w:szCs w:val="20"/>
                <w:color w:val="auto"/>
              </w:rPr>
            </w:pPr>
            <w:r>
              <w:rPr>
                <w:rFonts w:ascii="Arial" w:cs="Arial" w:eastAsia="Arial" w:hAnsi="Arial"/>
                <w:sz w:val="15"/>
                <w:szCs w:val="15"/>
                <w:color w:val="auto"/>
              </w:rPr>
              <w:t>2/1/34-4/30/34</w:t>
            </w:r>
          </w:p>
        </w:tc>
        <w:tc>
          <w:tcPr>
            <w:tcW w:w="28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86"/>
              </w:rPr>
              <w:t>$229,947.72</w:t>
            </w:r>
          </w:p>
        </w:tc>
        <w:tc>
          <w:tcPr>
            <w:tcW w:w="2840" w:type="dxa"/>
            <w:vAlign w:val="bottom"/>
            <w:tcBorders>
              <w:right w:val="single" w:sz="8" w:color="auto"/>
            </w:tcBorders>
          </w:tcPr>
          <w:p>
            <w:pPr>
              <w:jc w:val="right"/>
              <w:ind w:right="1047"/>
              <w:spacing w:after="0" w:line="164" w:lineRule="exact"/>
              <w:rPr>
                <w:sz w:val="20"/>
                <w:szCs w:val="20"/>
                <w:color w:val="auto"/>
              </w:rPr>
            </w:pPr>
            <w:r>
              <w:rPr>
                <w:rFonts w:ascii="Arial" w:cs="Arial" w:eastAsia="Arial" w:hAnsi="Arial"/>
                <w:sz w:val="15"/>
                <w:szCs w:val="15"/>
                <w:color w:val="auto"/>
              </w:rPr>
              <w:t>$19,162.31</w:t>
            </w:r>
          </w:p>
        </w:tc>
        <w:tc>
          <w:tcPr>
            <w:tcW w:w="2480" w:type="dxa"/>
            <w:vAlign w:val="bottom"/>
            <w:tcBorders>
              <w:right w:val="single" w:sz="8" w:color="auto"/>
            </w:tcBorders>
          </w:tcPr>
          <w:p>
            <w:pPr>
              <w:jc w:val="right"/>
              <w:ind w:right="987"/>
              <w:spacing w:after="0" w:line="164" w:lineRule="exact"/>
              <w:rPr>
                <w:sz w:val="20"/>
                <w:szCs w:val="20"/>
                <w:color w:val="auto"/>
              </w:rPr>
            </w:pPr>
            <w:r>
              <w:rPr>
                <w:rFonts w:ascii="Arial" w:cs="Arial" w:eastAsia="Arial" w:hAnsi="Arial"/>
                <w:sz w:val="15"/>
                <w:szCs w:val="15"/>
                <w:color w:val="auto"/>
              </w:rPr>
              <w:t>$23.22</w:t>
            </w:r>
          </w:p>
        </w:tc>
      </w:tr>
      <w:tr>
        <w:trPr>
          <w:trHeight w:val="192"/>
        </w:trPr>
        <w:tc>
          <w:tcPr>
            <w:tcW w:w="2800" w:type="dxa"/>
            <w:vAlign w:val="bottom"/>
            <w:tcBorders>
              <w:left w:val="single" w:sz="8" w:color="auto"/>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(annualized amount)</w:t>
            </w:r>
          </w:p>
        </w:tc>
        <w:tc>
          <w:tcPr>
            <w:tcW w:w="284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spacing w:after="0"/>
              <w:rPr>
                <w:sz w:val="16"/>
                <w:szCs w:val="16"/>
                <w:color w:val="auto"/>
              </w:rPr>
            </w:pPr>
          </w:p>
        </w:tc>
      </w:tr>
    </w:tbl>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Provided Tenant is not in default under the Lease, as amended by this Amendment, Landlord agrees to abate the Expansion Premises Base Annual Rent that is payable under this Amendment for the first three hundred seventy eight (378) days of the term of the Lease with respect to the Expansion Premises. The foregoing rent chart, Tenant’s “Proportionate Share” (as defined in Section 4 below), and the “Expansion Premises Construction Allowance” (as defined in Section 5 below) have been prepared on the basis that the Expansion Premises contains approximately 9,903 square feet of rentable area. In the event that the Expansion Premises contains more or less than 9,903 square feet of rentable area, then the parties shall promptly enter into an amendment of the Lease to adjust (i) the rent chart, and (ii) the Proportionate Shares set forth in Section 4 below, which adjustment shall be made using the same methodology that is sent forth in Exhibit G to the Lease, and (iii) the Expansion Premises Construction Allowance.</w:t>
      </w:r>
    </w:p>
    <w:p>
      <w:pPr>
        <w:spacing w:after="0" w:line="116" w:lineRule="exact"/>
        <w:rPr>
          <w:sz w:val="20"/>
          <w:szCs w:val="20"/>
          <w:color w:val="auto"/>
        </w:rPr>
      </w:pPr>
    </w:p>
    <w:p>
      <w:pPr>
        <w:ind w:firstLine="432"/>
        <w:spacing w:after="0" w:line="283" w:lineRule="auto"/>
        <w:tabs>
          <w:tab w:leader="none" w:pos="879" w:val="left"/>
        </w:tabs>
        <w:numPr>
          <w:ilvl w:val="0"/>
          <w:numId w:val="41"/>
        </w:numPr>
        <w:rPr>
          <w:rFonts w:ascii="Arial" w:cs="Arial" w:eastAsia="Arial" w:hAnsi="Arial"/>
          <w:sz w:val="14"/>
          <w:szCs w:val="14"/>
          <w:color w:val="auto"/>
        </w:rPr>
      </w:pPr>
      <w:r>
        <w:rPr>
          <w:rFonts w:ascii="Arial" w:cs="Arial" w:eastAsia="Arial" w:hAnsi="Arial"/>
          <w:sz w:val="14"/>
          <w:szCs w:val="14"/>
          <w:u w:val="single" w:color="auto"/>
          <w:color w:val="auto"/>
        </w:rPr>
        <w:t>Proportionate Share</w:t>
      </w:r>
      <w:r>
        <w:rPr>
          <w:rFonts w:ascii="Arial" w:cs="Arial" w:eastAsia="Arial" w:hAnsi="Arial"/>
          <w:sz w:val="14"/>
          <w:szCs w:val="14"/>
          <w:color w:val="auto"/>
        </w:rPr>
        <w:t>. Subject to the provisions of Section 3 above, from and after the Expansion Premises Commencement Date, Tenant’s “Proportionate Share” (as defined in the Lease) (a) with respect to the 9717 Building shall be increased to 84.75%, and (b) with respect to the “Project” (as defined in the Lease) shall be increased to 51.10%.</w:t>
      </w:r>
    </w:p>
    <w:p>
      <w:pPr>
        <w:spacing w:after="0" w:line="96" w:lineRule="exact"/>
        <w:rPr>
          <w:rFonts w:ascii="Arial" w:cs="Arial" w:eastAsia="Arial" w:hAnsi="Arial"/>
          <w:sz w:val="14"/>
          <w:szCs w:val="14"/>
          <w:color w:val="auto"/>
        </w:rPr>
      </w:pPr>
    </w:p>
    <w:p>
      <w:pPr>
        <w:jc w:val="both"/>
        <w:ind w:firstLine="432"/>
        <w:spacing w:after="0" w:line="251" w:lineRule="auto"/>
        <w:tabs>
          <w:tab w:leader="none" w:pos="879" w:val="left"/>
        </w:tabs>
        <w:numPr>
          <w:ilvl w:val="0"/>
          <w:numId w:val="41"/>
        </w:numPr>
        <w:rPr>
          <w:rFonts w:ascii="Arial" w:cs="Arial" w:eastAsia="Arial" w:hAnsi="Arial"/>
          <w:sz w:val="14"/>
          <w:szCs w:val="14"/>
          <w:color w:val="auto"/>
        </w:rPr>
      </w:pPr>
      <w:r>
        <w:rPr>
          <w:rFonts w:ascii="Arial" w:cs="Arial" w:eastAsia="Arial" w:hAnsi="Arial"/>
          <w:sz w:val="14"/>
          <w:szCs w:val="14"/>
          <w:u w:val="single" w:color="auto"/>
          <w:color w:val="auto"/>
        </w:rPr>
        <w:t>Expansion Premises Construction Allowance</w:t>
      </w:r>
      <w:r>
        <w:rPr>
          <w:rFonts w:ascii="Arial" w:cs="Arial" w:eastAsia="Arial" w:hAnsi="Arial"/>
          <w:sz w:val="14"/>
          <w:szCs w:val="14"/>
          <w:color w:val="auto"/>
        </w:rPr>
        <w:t>. Tenant shall be entitled to receive a construction allowance in connection with its lease of the Expansion Premises in the amount of the product of the number of square feet of rentable area contained within the Expansion Premises multiplied by $62.30 (the “Expansion Premises Construction Allowance”). Landlord shall be entitled to receive a construction supervisory fee in the amount of the product of the number of square feet of rentable area contained within the Expansion Premises multiplied by $0.37, which amount may be deducted from the amount of the Expansion Premises Construction Allowance. The Expansion Premises Construction Allowance shall be payable in accordance with the provisions of the Work Agreement that is attached to the Lease as Exhibit E that were applicable to the payment of the “Construction Allowance” (as defined in the Lease), except that if the Expansion Premises Construction Allowance is not fully utilized by Tenant within one (1) year after the Effective Date, the unused portion of the Expansion Premises Construction Allowance shall be retained by Landlord.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00"/>
          </w:cols>
          <w:pgMar w:left="300" w:top="925" w:right="299" w:bottom="1440" w:gutter="0" w:footer="0" w:header="0"/>
        </w:sectPr>
      </w:pPr>
    </w:p>
    <w:bookmarkStart w:id="47" w:name="page48"/>
    <w:bookmarkEnd w:id="47"/>
    <w:p>
      <w:pPr>
        <w:jc w:val="both"/>
        <w:ind w:firstLine="432"/>
        <w:spacing w:after="0" w:line="284" w:lineRule="auto"/>
        <w:tabs>
          <w:tab w:leader="none" w:pos="879"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Definitions; Merger</w:t>
      </w:r>
      <w:r>
        <w:rPr>
          <w:rFonts w:ascii="Arial" w:cs="Arial" w:eastAsia="Arial" w:hAnsi="Arial"/>
          <w:sz w:val="13"/>
          <w:szCs w:val="13"/>
          <w:color w:val="auto"/>
        </w:rPr>
        <w:t>. From and after the Expansion Premises Commencement Date, except where the context plainly requires otherwise, (a) the term “Demised Premises” shall mean the Original Demised Premises and the Expansion Premises, and (b) all references in the Lease to “Demised Premises” shall mean the Original Demised Premises and the Expansion Premises. Except where the context plainly requires otherwise, all capitalized terms that are not defined in this Amendment shall have the meanings ascribed to such terms in the Lease. Notwithstanding anything herein to the contrary, in the event Landlord obtains a judgment against Tenant in connection with the Lease, the Lease shall not merge into the judgment.</w:t>
      </w:r>
    </w:p>
    <w:p>
      <w:pPr>
        <w:spacing w:after="0" w:line="97" w:lineRule="exact"/>
        <w:rPr>
          <w:rFonts w:ascii="Arial" w:cs="Arial" w:eastAsia="Arial" w:hAnsi="Arial"/>
          <w:sz w:val="13"/>
          <w:szCs w:val="13"/>
          <w:color w:val="auto"/>
        </w:rPr>
      </w:pPr>
    </w:p>
    <w:p>
      <w:pPr>
        <w:ind w:left="880" w:hanging="448"/>
        <w:spacing w:after="0"/>
        <w:tabs>
          <w:tab w:leader="none" w:pos="880"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Estoppel</w:t>
      </w:r>
      <w:r>
        <w:rPr>
          <w:rFonts w:ascii="Arial" w:cs="Arial" w:eastAsia="Arial" w:hAnsi="Arial"/>
          <w:sz w:val="15"/>
          <w:szCs w:val="15"/>
          <w:color w:val="auto"/>
        </w:rPr>
        <w:t>. To induce Landlord to enter into this Amendment, Tenant hereby represents and warrants to Landlord that as of the date of this Amendment:</w:t>
      </w:r>
    </w:p>
    <w:p>
      <w:pPr>
        <w:spacing w:after="0" w:line="138" w:lineRule="exact"/>
        <w:rPr>
          <w:rFonts w:ascii="Arial" w:cs="Arial" w:eastAsia="Arial" w:hAnsi="Arial"/>
          <w:sz w:val="15"/>
          <w:szCs w:val="15"/>
          <w:color w:val="auto"/>
        </w:rPr>
      </w:pPr>
    </w:p>
    <w:p>
      <w:pPr>
        <w:ind w:left="1180" w:hanging="308"/>
        <w:spacing w:after="0"/>
        <w:tabs>
          <w:tab w:leader="none" w:pos="11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Tenant is in possession of the entire Original Demised Premises;</w:t>
      </w:r>
    </w:p>
    <w:p>
      <w:pPr>
        <w:spacing w:after="0" w:line="138" w:lineRule="exact"/>
        <w:rPr>
          <w:rFonts w:ascii="Arial" w:cs="Arial" w:eastAsia="Arial" w:hAnsi="Arial"/>
          <w:sz w:val="15"/>
          <w:szCs w:val="15"/>
          <w:color w:val="auto"/>
        </w:rPr>
      </w:pPr>
    </w:p>
    <w:p>
      <w:pPr>
        <w:ind w:left="1180" w:hanging="308"/>
        <w:spacing w:after="0"/>
        <w:tabs>
          <w:tab w:leader="none" w:pos="11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Tenant has not assigned the Lease or sublet any portion of the Original Demised Premises;</w:t>
      </w:r>
    </w:p>
    <w:p>
      <w:pPr>
        <w:spacing w:after="0" w:line="138" w:lineRule="exact"/>
        <w:rPr>
          <w:rFonts w:ascii="Arial" w:cs="Arial" w:eastAsia="Arial" w:hAnsi="Arial"/>
          <w:sz w:val="15"/>
          <w:szCs w:val="15"/>
          <w:color w:val="auto"/>
        </w:rPr>
      </w:pPr>
    </w:p>
    <w:p>
      <w:pPr>
        <w:ind w:left="1180" w:hanging="308"/>
        <w:spacing w:after="0"/>
        <w:tabs>
          <w:tab w:leader="none" w:pos="11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The Lease is unmodified (except as otherwise expressly set forth to the contrary in this Amendment) and is in full force and effect;</w:t>
      </w:r>
    </w:p>
    <w:p>
      <w:pPr>
        <w:spacing w:after="0" w:line="138" w:lineRule="exact"/>
        <w:rPr>
          <w:rFonts w:ascii="Arial" w:cs="Arial" w:eastAsia="Arial" w:hAnsi="Arial"/>
          <w:sz w:val="15"/>
          <w:szCs w:val="15"/>
          <w:color w:val="auto"/>
        </w:rPr>
      </w:pPr>
    </w:p>
    <w:p>
      <w:pPr>
        <w:ind w:right="20" w:firstLine="872"/>
        <w:spacing w:after="0" w:line="248" w:lineRule="auto"/>
        <w:tabs>
          <w:tab w:leader="none" w:pos="121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Tenant has no claims against Landlord arising under or in connection with the Lease, and Tenant has no set off or defenses against the enforcement of any right or remedy of Landlord under the Lease; and</w:t>
      </w:r>
    </w:p>
    <w:p>
      <w:pPr>
        <w:spacing w:after="0" w:line="119" w:lineRule="exact"/>
        <w:rPr>
          <w:rFonts w:ascii="Arial" w:cs="Arial" w:eastAsia="Arial" w:hAnsi="Arial"/>
          <w:sz w:val="15"/>
          <w:szCs w:val="15"/>
          <w:color w:val="auto"/>
        </w:rPr>
      </w:pPr>
    </w:p>
    <w:p>
      <w:pPr>
        <w:ind w:firstLine="872"/>
        <w:spacing w:after="0" w:line="248" w:lineRule="auto"/>
        <w:tabs>
          <w:tab w:leader="none" w:pos="1315" w:val="left"/>
        </w:tabs>
        <w:numPr>
          <w:ilvl w:val="1"/>
          <w:numId w:val="42"/>
        </w:numPr>
        <w:rPr>
          <w:rFonts w:ascii="Arial" w:cs="Arial" w:eastAsia="Arial" w:hAnsi="Arial"/>
          <w:sz w:val="15"/>
          <w:szCs w:val="15"/>
          <w:color w:val="auto"/>
        </w:rPr>
      </w:pPr>
      <w:r>
        <w:rPr>
          <w:rFonts w:ascii="Arial" w:cs="Arial" w:eastAsia="Arial" w:hAnsi="Arial"/>
          <w:sz w:val="15"/>
          <w:szCs w:val="15"/>
          <w:color w:val="auto"/>
        </w:rPr>
        <w:t>Landlord is not in default of any of its obligations under the Lease and no event has occurred and no condition exists which, with the giving of notice or the lapse of time, or both, will constitute a default by Landlord under the Lease.</w:t>
      </w:r>
    </w:p>
    <w:p>
      <w:pPr>
        <w:spacing w:after="0" w:line="119" w:lineRule="exact"/>
        <w:rPr>
          <w:rFonts w:ascii="Arial" w:cs="Arial" w:eastAsia="Arial" w:hAnsi="Arial"/>
          <w:sz w:val="15"/>
          <w:szCs w:val="15"/>
          <w:color w:val="auto"/>
        </w:rPr>
      </w:pPr>
    </w:p>
    <w:p>
      <w:pPr>
        <w:ind w:firstLine="432"/>
        <w:spacing w:after="0" w:line="248" w:lineRule="auto"/>
        <w:tabs>
          <w:tab w:leader="none" w:pos="879"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Governing Documents.</w:t>
      </w:r>
      <w:r>
        <w:rPr>
          <w:rFonts w:ascii="Arial" w:cs="Arial" w:eastAsia="Arial" w:hAnsi="Arial"/>
          <w:sz w:val="15"/>
          <w:szCs w:val="15"/>
          <w:color w:val="auto"/>
        </w:rPr>
        <w:t xml:space="preserve"> Except as modified by this Amendment, the Lease shall remain in full force in accordance with its terms. In the event of any conflict between the terms and conditions of the Lease and the terms and conditions of this Amendment, the terms and conditions of this Amendment shall govern and control.</w:t>
      </w:r>
    </w:p>
    <w:p>
      <w:pPr>
        <w:spacing w:after="0" w:line="119" w:lineRule="exact"/>
        <w:rPr>
          <w:rFonts w:ascii="Arial" w:cs="Arial" w:eastAsia="Arial" w:hAnsi="Arial"/>
          <w:sz w:val="15"/>
          <w:szCs w:val="15"/>
          <w:color w:val="auto"/>
        </w:rPr>
      </w:pPr>
    </w:p>
    <w:p>
      <w:pPr>
        <w:ind w:right="20" w:firstLine="432"/>
        <w:spacing w:after="0" w:line="248" w:lineRule="auto"/>
        <w:tabs>
          <w:tab w:leader="none" w:pos="879"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xml:space="preserve"> This Amendment may be executed in (2) or more counterparts copies, all of which counterparts shall have the same force and effect as if all parties hereto had executed a single copy of this Amendment.</w:t>
      </w:r>
    </w:p>
    <w:p>
      <w:pPr>
        <w:spacing w:after="0" w:line="119" w:lineRule="exact"/>
        <w:rPr>
          <w:rFonts w:ascii="Arial" w:cs="Arial" w:eastAsia="Arial" w:hAnsi="Arial"/>
          <w:sz w:val="15"/>
          <w:szCs w:val="15"/>
          <w:color w:val="auto"/>
        </w:rPr>
      </w:pPr>
    </w:p>
    <w:p>
      <w:pPr>
        <w:ind w:left="880" w:hanging="448"/>
        <w:spacing w:after="0"/>
        <w:tabs>
          <w:tab w:leader="none" w:pos="880"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Incorporation of Recitals.</w:t>
      </w:r>
      <w:r>
        <w:rPr>
          <w:rFonts w:ascii="Arial" w:cs="Arial" w:eastAsia="Arial" w:hAnsi="Arial"/>
          <w:sz w:val="15"/>
          <w:szCs w:val="15"/>
          <w:color w:val="auto"/>
        </w:rPr>
        <w:t xml:space="preserve"> The recitals set forth above are incorporated in and made a part of this Amendment.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00"/>
          </w:cols>
          <w:pgMar w:left="300" w:top="912" w:right="299" w:bottom="1440" w:gutter="0" w:footer="0" w:header="0"/>
        </w:sectPr>
      </w:pPr>
    </w:p>
    <w:bookmarkStart w:id="48" w:name="page49"/>
    <w:bookmarkEnd w:id="48"/>
    <w:p>
      <w:pPr>
        <w:ind w:left="440"/>
        <w:spacing w:after="0"/>
        <w:rPr>
          <w:sz w:val="20"/>
          <w:szCs w:val="20"/>
          <w:color w:val="auto"/>
        </w:rPr>
      </w:pPr>
      <w:r>
        <w:rPr>
          <w:rFonts w:ascii="Arial" w:cs="Arial" w:eastAsia="Arial" w:hAnsi="Arial"/>
          <w:sz w:val="13"/>
          <w:szCs w:val="13"/>
          <w:color w:val="auto"/>
        </w:rPr>
        <w:t>IN WITNESS WHEREOF, the parties have executed this Amendment as of the day and year first above written.</w:t>
      </w:r>
    </w:p>
    <w:p>
      <w:pPr>
        <w:spacing w:after="0" w:line="158" w:lineRule="exact"/>
        <w:rPr>
          <w:sz w:val="20"/>
          <w:szCs w:val="20"/>
          <w:color w:val="auto"/>
        </w:rPr>
      </w:pPr>
    </w:p>
    <w:p>
      <w:pPr>
        <w:spacing w:after="0"/>
        <w:tabs>
          <w:tab w:leader="none" w:pos="1580" w:val="left"/>
        </w:tabs>
        <w:rPr>
          <w:sz w:val="20"/>
          <w:szCs w:val="20"/>
          <w:color w:val="auto"/>
        </w:rPr>
      </w:pPr>
      <w:r>
        <w:rPr>
          <w:rFonts w:ascii="Arial" w:cs="Arial" w:eastAsia="Arial" w:hAnsi="Arial"/>
          <w:sz w:val="15"/>
          <w:szCs w:val="15"/>
          <w:b w:val="1"/>
          <w:bCs w:val="1"/>
          <w:color w:val="auto"/>
        </w:rPr>
        <w:t>WITNESS/ATTEST:</w:t>
      </w:r>
      <w:r>
        <w:rPr>
          <w:sz w:val="20"/>
          <w:szCs w:val="20"/>
          <w:color w:val="auto"/>
        </w:rPr>
        <w:tab/>
      </w:r>
      <w:r>
        <w:rPr>
          <w:rFonts w:ascii="Arial" w:cs="Arial" w:eastAsia="Arial" w:hAnsi="Arial"/>
          <w:sz w:val="15"/>
          <w:szCs w:val="15"/>
          <w:b w:val="1"/>
          <w:bCs w:val="1"/>
          <w:color w:val="auto"/>
        </w:rPr>
        <w:t>LANDLORD:</w:t>
      </w:r>
    </w:p>
    <w:p>
      <w:pPr>
        <w:spacing w:after="0" w:line="69"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KEY WEST MD OWNER LLC, a Delaware limited liability company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tcBorders>
              <w:bottom w:val="single" w:sz="8" w:color="auto"/>
            </w:tcBorders>
          </w:tcPr>
          <w:p>
            <w:pPr>
              <w:ind w:left="1200"/>
              <w:spacing w:after="0"/>
              <w:rPr>
                <w:sz w:val="20"/>
                <w:szCs w:val="20"/>
                <w:color w:val="auto"/>
              </w:rPr>
            </w:pPr>
            <w:r>
              <w:rPr>
                <w:rFonts w:ascii="Arial" w:cs="Arial" w:eastAsia="Arial" w:hAnsi="Arial"/>
                <w:sz w:val="15"/>
                <w:szCs w:val="15"/>
                <w:color w:val="auto"/>
              </w:rPr>
              <w:t>By:</w:t>
            </w: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/s/ Neal Gumbin</w:t>
            </w:r>
          </w:p>
        </w:tc>
      </w:tr>
      <w:tr>
        <w:trPr>
          <w:trHeight w:val="185"/>
        </w:trPr>
        <w:tc>
          <w:tcPr>
            <w:tcW w:w="1740" w:type="dxa"/>
            <w:vAlign w:val="bottom"/>
          </w:tcPr>
          <w:p>
            <w:pPr>
              <w:ind w:left="1200"/>
              <w:spacing w:after="0"/>
              <w:rPr>
                <w:sz w:val="20"/>
                <w:szCs w:val="20"/>
                <w:color w:val="auto"/>
              </w:rPr>
            </w:pPr>
            <w:r>
              <w:rPr>
                <w:rFonts w:ascii="Arial" w:cs="Arial" w:eastAsia="Arial" w:hAnsi="Arial"/>
                <w:sz w:val="15"/>
                <w:szCs w:val="15"/>
                <w:color w:val="auto"/>
              </w:rPr>
              <w:t>Name:</w:t>
            </w:r>
          </w:p>
        </w:tc>
        <w:tc>
          <w:tcPr>
            <w:tcW w:w="1480" w:type="dxa"/>
            <w:vAlign w:val="bottom"/>
          </w:tcPr>
          <w:p>
            <w:pPr>
              <w:ind w:left="140"/>
              <w:spacing w:after="0"/>
              <w:rPr>
                <w:sz w:val="20"/>
                <w:szCs w:val="20"/>
                <w:color w:val="auto"/>
              </w:rPr>
            </w:pPr>
            <w:r>
              <w:rPr>
                <w:rFonts w:ascii="Arial" w:cs="Arial" w:eastAsia="Arial" w:hAnsi="Arial"/>
                <w:sz w:val="15"/>
                <w:szCs w:val="15"/>
                <w:color w:val="auto"/>
              </w:rPr>
              <w:t>Neal Gumbin</w:t>
            </w:r>
          </w:p>
        </w:tc>
      </w:tr>
      <w:tr>
        <w:trPr>
          <w:trHeight w:val="201"/>
        </w:trPr>
        <w:tc>
          <w:tcPr>
            <w:tcW w:w="1740" w:type="dxa"/>
            <w:vAlign w:val="bottom"/>
          </w:tcPr>
          <w:p>
            <w:pPr>
              <w:ind w:left="1200"/>
              <w:spacing w:after="0"/>
              <w:rPr>
                <w:sz w:val="20"/>
                <w:szCs w:val="20"/>
                <w:color w:val="auto"/>
              </w:rPr>
            </w:pPr>
            <w:r>
              <w:rPr>
                <w:rFonts w:ascii="Arial" w:cs="Arial" w:eastAsia="Arial" w:hAnsi="Arial"/>
                <w:sz w:val="15"/>
                <w:szCs w:val="15"/>
                <w:color w:val="auto"/>
              </w:rPr>
              <w:t>Title:</w:t>
            </w:r>
          </w:p>
        </w:tc>
        <w:tc>
          <w:tcPr>
            <w:tcW w:w="1480" w:type="dxa"/>
            <w:vAlign w:val="bottom"/>
          </w:tcPr>
          <w:p>
            <w:pPr>
              <w:ind w:left="140"/>
              <w:spacing w:after="0"/>
              <w:rPr>
                <w:sz w:val="20"/>
                <w:szCs w:val="20"/>
                <w:color w:val="auto"/>
              </w:rPr>
            </w:pPr>
            <w:r>
              <w:rPr>
                <w:rFonts w:ascii="Arial" w:cs="Arial" w:eastAsia="Arial" w:hAnsi="Arial"/>
                <w:sz w:val="15"/>
                <w:szCs w:val="15"/>
                <w:color w:val="auto"/>
                <w:w w:val="94"/>
              </w:rPr>
              <w:t>Authorized Signatory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-254000</wp:posOffset>
            </wp:positionV>
            <wp:extent cx="244030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40305" cy="5715"/>
                    </a:xfrm>
                    <a:prstGeom prst="rect">
                      <a:avLst/>
                    </a:prstGeom>
                    <a:noFill/>
                  </pic:spPr>
                </pic:pic>
              </a:graphicData>
            </a:graphic>
          </wp:anchor>
        </w:drawing>
      </w:r>
    </w:p>
    <w:p>
      <w:pPr>
        <w:spacing w:after="0" w:line="329" w:lineRule="exact"/>
        <w:rPr>
          <w:sz w:val="20"/>
          <w:szCs w:val="20"/>
          <w:color w:val="auto"/>
        </w:rPr>
      </w:pPr>
    </w:p>
    <w:p>
      <w:pPr>
        <w:spacing w:after="0"/>
        <w:tabs>
          <w:tab w:leader="none" w:pos="1580" w:val="left"/>
        </w:tabs>
        <w:rPr>
          <w:sz w:val="20"/>
          <w:szCs w:val="20"/>
          <w:color w:val="auto"/>
        </w:rPr>
      </w:pPr>
      <w:r>
        <w:rPr>
          <w:rFonts w:ascii="Arial" w:cs="Arial" w:eastAsia="Arial" w:hAnsi="Arial"/>
          <w:sz w:val="15"/>
          <w:szCs w:val="15"/>
          <w:b w:val="1"/>
          <w:bCs w:val="1"/>
          <w:color w:val="auto"/>
        </w:rPr>
        <w:t>WITNESS/ATTEST:</w:t>
      </w:r>
      <w:r>
        <w:rPr>
          <w:sz w:val="20"/>
          <w:szCs w:val="20"/>
          <w:color w:val="auto"/>
        </w:rPr>
        <w:tab/>
      </w:r>
      <w:r>
        <w:rPr>
          <w:rFonts w:ascii="Arial" w:cs="Arial" w:eastAsia="Arial" w:hAnsi="Arial"/>
          <w:sz w:val="15"/>
          <w:szCs w:val="15"/>
          <w:b w:val="1"/>
          <w:bCs w:val="1"/>
          <w:color w:val="auto"/>
        </w:rPr>
        <w:t>TENANT:</w:t>
      </w:r>
    </w:p>
    <w:p>
      <w:pPr>
        <w:spacing w:after="0" w:line="69"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SUPERNUS PHARMACEUTICALS, INC., a Delaware corporation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tcBorders>
              <w:bottom w:val="single" w:sz="8" w:color="auto"/>
            </w:tcBorders>
          </w:tcPr>
          <w:p>
            <w:pPr>
              <w:ind w:left="1200"/>
              <w:spacing w:after="0"/>
              <w:rPr>
                <w:sz w:val="20"/>
                <w:szCs w:val="20"/>
                <w:color w:val="auto"/>
              </w:rPr>
            </w:pPr>
            <w:r>
              <w:rPr>
                <w:rFonts w:ascii="Arial" w:cs="Arial" w:eastAsia="Arial" w:hAnsi="Arial"/>
                <w:sz w:val="15"/>
                <w:szCs w:val="15"/>
                <w:color w:val="auto"/>
              </w:rPr>
              <w:t>By:</w:t>
            </w: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/s/ Jack Khattar</w:t>
            </w:r>
          </w:p>
        </w:tc>
      </w:tr>
      <w:tr>
        <w:trPr>
          <w:trHeight w:val="185"/>
        </w:trPr>
        <w:tc>
          <w:tcPr>
            <w:tcW w:w="1740" w:type="dxa"/>
            <w:vAlign w:val="bottom"/>
          </w:tcPr>
          <w:p>
            <w:pPr>
              <w:ind w:left="1200"/>
              <w:spacing w:after="0"/>
              <w:rPr>
                <w:sz w:val="20"/>
                <w:szCs w:val="20"/>
                <w:color w:val="auto"/>
              </w:rPr>
            </w:pPr>
            <w:r>
              <w:rPr>
                <w:rFonts w:ascii="Arial" w:cs="Arial" w:eastAsia="Arial" w:hAnsi="Arial"/>
                <w:sz w:val="15"/>
                <w:szCs w:val="15"/>
                <w:color w:val="auto"/>
              </w:rPr>
              <w:t>Name:</w:t>
            </w:r>
          </w:p>
        </w:tc>
        <w:tc>
          <w:tcPr>
            <w:tcW w:w="1480" w:type="dxa"/>
            <w:vAlign w:val="bottom"/>
          </w:tcPr>
          <w:p>
            <w:pPr>
              <w:ind w:left="140"/>
              <w:spacing w:after="0"/>
              <w:rPr>
                <w:sz w:val="20"/>
                <w:szCs w:val="20"/>
                <w:color w:val="auto"/>
              </w:rPr>
            </w:pPr>
            <w:r>
              <w:rPr>
                <w:rFonts w:ascii="Arial" w:cs="Arial" w:eastAsia="Arial" w:hAnsi="Arial"/>
                <w:sz w:val="15"/>
                <w:szCs w:val="15"/>
                <w:color w:val="auto"/>
              </w:rPr>
              <w:t>Jack Khattar</w:t>
            </w:r>
          </w:p>
        </w:tc>
      </w:tr>
      <w:tr>
        <w:trPr>
          <w:trHeight w:val="201"/>
        </w:trPr>
        <w:tc>
          <w:tcPr>
            <w:tcW w:w="1740" w:type="dxa"/>
            <w:vAlign w:val="bottom"/>
          </w:tcPr>
          <w:p>
            <w:pPr>
              <w:ind w:left="1200"/>
              <w:spacing w:after="0"/>
              <w:rPr>
                <w:sz w:val="20"/>
                <w:szCs w:val="20"/>
                <w:color w:val="auto"/>
              </w:rPr>
            </w:pPr>
            <w:r>
              <w:rPr>
                <w:rFonts w:ascii="Arial" w:cs="Arial" w:eastAsia="Arial" w:hAnsi="Arial"/>
                <w:sz w:val="15"/>
                <w:szCs w:val="15"/>
                <w:color w:val="auto"/>
              </w:rPr>
              <w:t>Title:</w:t>
            </w:r>
          </w:p>
        </w:tc>
        <w:tc>
          <w:tcPr>
            <w:tcW w:w="1480" w:type="dxa"/>
            <w:vAlign w:val="bottom"/>
          </w:tcPr>
          <w:p>
            <w:pPr>
              <w:ind w:left="140"/>
              <w:spacing w:after="0"/>
              <w:rPr>
                <w:sz w:val="20"/>
                <w:szCs w:val="20"/>
                <w:color w:val="auto"/>
              </w:rPr>
            </w:pPr>
            <w:r>
              <w:rPr>
                <w:rFonts w:ascii="Arial" w:cs="Arial" w:eastAsia="Arial" w:hAnsi="Arial"/>
                <w:sz w:val="15"/>
                <w:szCs w:val="15"/>
                <w:color w:val="auto"/>
              </w:rPr>
              <w:t>President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-254000</wp:posOffset>
            </wp:positionV>
            <wp:extent cx="244030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403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59"/>
          </w:cols>
          <w:pgMar w:left="300" w:top="912"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5"/>
          <w:szCs w:val="15"/>
          <w:b w:val="1"/>
          <w:bCs w:val="1"/>
          <w:u w:val="single" w:color="auto"/>
          <w:color w:val="auto"/>
        </w:rPr>
        <w:t>EXHIBIT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304800</wp:posOffset>
            </wp:positionV>
            <wp:extent cx="4032885" cy="18770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3288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019"/>
          </w:cols>
          <w:pgMar w:left="1440" w:top="908"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1"/>
          <w:szCs w:val="11"/>
          <w:b w:val="1"/>
          <w:bCs w:val="1"/>
          <w:color w:val="auto"/>
        </w:rPr>
        <w:t>EXHIBIT 31.1</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CERTIFICATION</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1"/>
          <w:szCs w:val="11"/>
          <w:color w:val="auto"/>
        </w:rPr>
        <w:t>I, Jack A. Khattar, certify that:</w:t>
      </w:r>
    </w:p>
    <w:p>
      <w:pPr>
        <w:spacing w:after="0" w:line="117" w:lineRule="exact"/>
        <w:rPr>
          <w:sz w:val="20"/>
          <w:szCs w:val="20"/>
          <w:color w:val="auto"/>
        </w:rPr>
      </w:pPr>
    </w:p>
    <w:p>
      <w:pPr>
        <w:ind w:left="447" w:hanging="447"/>
        <w:spacing w:after="0"/>
        <w:tabs>
          <w:tab w:leader="none" w:pos="447" w:val="left"/>
        </w:tabs>
        <w:numPr>
          <w:ilvl w:val="0"/>
          <w:numId w:val="43"/>
        </w:numPr>
        <w:rPr>
          <w:rFonts w:ascii="Arial" w:cs="Arial" w:eastAsia="Arial" w:hAnsi="Arial"/>
          <w:sz w:val="11"/>
          <w:szCs w:val="11"/>
          <w:color w:val="auto"/>
        </w:rPr>
      </w:pPr>
      <w:r>
        <w:rPr>
          <w:rFonts w:ascii="Arial" w:cs="Arial" w:eastAsia="Arial" w:hAnsi="Arial"/>
          <w:sz w:val="12"/>
          <w:szCs w:val="12"/>
          <w:color w:val="auto"/>
        </w:rPr>
        <w:t>I have reviewed this Quarterly Report on Form 10-Q of Supernus Pharmaceuticals, Inc.;</w:t>
      </w:r>
    </w:p>
    <w:p>
      <w:pPr>
        <w:spacing w:after="0" w:line="136" w:lineRule="exact"/>
        <w:rPr>
          <w:rFonts w:ascii="Arial" w:cs="Arial" w:eastAsia="Arial" w:hAnsi="Arial"/>
          <w:sz w:val="11"/>
          <w:szCs w:val="11"/>
          <w:color w:val="auto"/>
        </w:rPr>
      </w:pPr>
    </w:p>
    <w:p>
      <w:pPr>
        <w:ind w:left="447" w:right="60" w:hanging="447"/>
        <w:spacing w:after="0" w:line="283" w:lineRule="auto"/>
        <w:tabs>
          <w:tab w:leader="none" w:pos="447" w:val="left"/>
        </w:tabs>
        <w:numPr>
          <w:ilvl w:val="0"/>
          <w:numId w:val="43"/>
        </w:numPr>
        <w:rPr>
          <w:rFonts w:ascii="Arial" w:cs="Arial" w:eastAsia="Arial" w:hAnsi="Arial"/>
          <w:sz w:val="11"/>
          <w:szCs w:val="11"/>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1"/>
          <w:szCs w:val="11"/>
          <w:color w:val="auto"/>
        </w:rPr>
      </w:pPr>
    </w:p>
    <w:p>
      <w:pPr>
        <w:ind w:left="447" w:right="60" w:hanging="447"/>
        <w:spacing w:after="0" w:line="283" w:lineRule="auto"/>
        <w:tabs>
          <w:tab w:leader="none" w:pos="447" w:val="left"/>
        </w:tabs>
        <w:numPr>
          <w:ilvl w:val="0"/>
          <w:numId w:val="43"/>
        </w:numPr>
        <w:rPr>
          <w:rFonts w:ascii="Arial" w:cs="Arial" w:eastAsia="Arial" w:hAnsi="Arial"/>
          <w:sz w:val="11"/>
          <w:szCs w:val="11"/>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1"/>
          <w:szCs w:val="11"/>
          <w:color w:val="auto"/>
        </w:rPr>
      </w:pPr>
    </w:p>
    <w:p>
      <w:pPr>
        <w:ind w:left="447" w:right="380" w:hanging="447"/>
        <w:spacing w:after="0" w:line="283" w:lineRule="auto"/>
        <w:tabs>
          <w:tab w:leader="none" w:pos="447" w:val="left"/>
        </w:tabs>
        <w:numPr>
          <w:ilvl w:val="0"/>
          <w:numId w:val="43"/>
        </w:numPr>
        <w:rPr>
          <w:rFonts w:ascii="Arial" w:cs="Arial" w:eastAsia="Arial" w:hAnsi="Arial"/>
          <w:sz w:val="11"/>
          <w:szCs w:val="11"/>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1"/>
          <w:szCs w:val="11"/>
          <w:color w:val="auto"/>
        </w:rPr>
      </w:pPr>
    </w:p>
    <w:p>
      <w:pPr>
        <w:ind w:left="887" w:right="80" w:hanging="448"/>
        <w:spacing w:after="0" w:line="283" w:lineRule="auto"/>
        <w:tabs>
          <w:tab w:leader="none" w:pos="880" w:val="left"/>
        </w:tabs>
        <w:numPr>
          <w:ilvl w:val="1"/>
          <w:numId w:val="43"/>
        </w:numPr>
        <w:rPr>
          <w:rFonts w:ascii="Arial" w:cs="Arial" w:eastAsia="Arial" w:hAnsi="Arial"/>
          <w:sz w:val="11"/>
          <w:szCs w:val="11"/>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1"/>
          <w:szCs w:val="11"/>
          <w:color w:val="auto"/>
        </w:rPr>
      </w:pPr>
    </w:p>
    <w:p>
      <w:pPr>
        <w:ind w:left="887" w:right="280" w:hanging="448"/>
        <w:spacing w:after="0" w:line="283" w:lineRule="auto"/>
        <w:tabs>
          <w:tab w:leader="none" w:pos="887" w:val="left"/>
        </w:tabs>
        <w:numPr>
          <w:ilvl w:val="1"/>
          <w:numId w:val="43"/>
        </w:numPr>
        <w:rPr>
          <w:rFonts w:ascii="Arial" w:cs="Arial" w:eastAsia="Arial" w:hAnsi="Arial"/>
          <w:sz w:val="11"/>
          <w:szCs w:val="11"/>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1"/>
          <w:szCs w:val="11"/>
          <w:color w:val="auto"/>
        </w:rPr>
      </w:pPr>
    </w:p>
    <w:p>
      <w:pPr>
        <w:ind w:left="887" w:right="200" w:hanging="448"/>
        <w:spacing w:after="0" w:line="283" w:lineRule="auto"/>
        <w:tabs>
          <w:tab w:leader="none" w:pos="880" w:val="left"/>
        </w:tabs>
        <w:numPr>
          <w:ilvl w:val="1"/>
          <w:numId w:val="43"/>
        </w:numPr>
        <w:rPr>
          <w:rFonts w:ascii="Arial" w:cs="Arial" w:eastAsia="Arial" w:hAnsi="Arial"/>
          <w:sz w:val="11"/>
          <w:szCs w:val="11"/>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1"/>
          <w:szCs w:val="11"/>
          <w:color w:val="auto"/>
        </w:rPr>
      </w:pPr>
    </w:p>
    <w:p>
      <w:pPr>
        <w:ind w:left="887" w:right="240" w:hanging="448"/>
        <w:spacing w:after="0" w:line="283" w:lineRule="auto"/>
        <w:tabs>
          <w:tab w:leader="none" w:pos="887" w:val="left"/>
        </w:tabs>
        <w:numPr>
          <w:ilvl w:val="1"/>
          <w:numId w:val="43"/>
        </w:numPr>
        <w:rPr>
          <w:rFonts w:ascii="Arial" w:cs="Arial" w:eastAsia="Arial" w:hAnsi="Arial"/>
          <w:sz w:val="11"/>
          <w:szCs w:val="11"/>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1"/>
          <w:szCs w:val="11"/>
          <w:color w:val="auto"/>
        </w:rPr>
      </w:pPr>
    </w:p>
    <w:p>
      <w:pPr>
        <w:ind w:left="447" w:right="180" w:hanging="447"/>
        <w:spacing w:after="0" w:line="283" w:lineRule="auto"/>
        <w:tabs>
          <w:tab w:leader="none" w:pos="447" w:val="left"/>
        </w:tabs>
        <w:numPr>
          <w:ilvl w:val="0"/>
          <w:numId w:val="43"/>
        </w:numPr>
        <w:rPr>
          <w:rFonts w:ascii="Arial" w:cs="Arial" w:eastAsia="Arial" w:hAnsi="Arial"/>
          <w:sz w:val="11"/>
          <w:szCs w:val="11"/>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1"/>
          <w:szCs w:val="11"/>
          <w:color w:val="auto"/>
        </w:rPr>
      </w:pPr>
    </w:p>
    <w:p>
      <w:pPr>
        <w:ind w:left="887" w:right="220" w:hanging="448"/>
        <w:spacing w:after="0" w:line="283" w:lineRule="auto"/>
        <w:tabs>
          <w:tab w:leader="none" w:pos="885" w:val="left"/>
        </w:tabs>
        <w:numPr>
          <w:ilvl w:val="1"/>
          <w:numId w:val="4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2"/>
          <w:szCs w:val="12"/>
          <w:color w:val="auto"/>
        </w:rPr>
      </w:pPr>
    </w:p>
    <w:p>
      <w:pPr>
        <w:ind w:left="867" w:hanging="428"/>
        <w:spacing w:after="0"/>
        <w:tabs>
          <w:tab w:leader="none" w:pos="867"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7"/>
        <w:spacing w:after="0"/>
        <w:tabs>
          <w:tab w:leader="none" w:pos="5646" w:val="left"/>
          <w:tab w:leader="none" w:pos="6086" w:val="left"/>
        </w:tabs>
        <w:rPr>
          <w:sz w:val="20"/>
          <w:szCs w:val="20"/>
          <w:color w:val="auto"/>
        </w:rPr>
      </w:pPr>
      <w:r>
        <w:rPr>
          <w:rFonts w:ascii="Arial" w:cs="Arial" w:eastAsia="Arial" w:hAnsi="Arial"/>
          <w:sz w:val="11"/>
          <w:szCs w:val="11"/>
          <w:color w:val="auto"/>
        </w:rPr>
        <w:t>Date: November 5, 2021</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10160</wp:posOffset>
            </wp:positionV>
            <wp:extent cx="301561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15615" cy="5715"/>
                    </a:xfrm>
                    <a:prstGeom prst="rect">
                      <a:avLst/>
                    </a:prstGeom>
                    <a:noFill/>
                  </pic:spPr>
                </pic:pic>
              </a:graphicData>
            </a:graphic>
          </wp:anchor>
        </w:drawing>
      </w:r>
    </w:p>
    <w:p>
      <w:pPr>
        <w:ind w:left="6107"/>
        <w:spacing w:after="0"/>
        <w:rPr>
          <w:sz w:val="20"/>
          <w:szCs w:val="20"/>
          <w:color w:val="auto"/>
        </w:rPr>
      </w:pPr>
      <w:r>
        <w:rPr>
          <w:rFonts w:ascii="Arial" w:cs="Arial" w:eastAsia="Arial" w:hAnsi="Arial"/>
          <w:sz w:val="11"/>
          <w:szCs w:val="11"/>
          <w:color w:val="auto"/>
        </w:rPr>
        <w:t>Jack A. Khattar</w:t>
      </w:r>
    </w:p>
    <w:p>
      <w:pPr>
        <w:ind w:left="6327"/>
        <w:spacing w:after="0"/>
        <w:rPr>
          <w:sz w:val="20"/>
          <w:szCs w:val="20"/>
          <w:color w:val="auto"/>
        </w:rPr>
      </w:pPr>
      <w:r>
        <w:rPr>
          <w:rFonts w:ascii="Arial" w:cs="Arial" w:eastAsia="Arial" w:hAnsi="Arial"/>
          <w:sz w:val="11"/>
          <w:szCs w:val="11"/>
          <w:color w:val="auto"/>
        </w:rPr>
        <w:t>President and Chief Executive Officer</w:t>
      </w:r>
    </w:p>
    <w:p>
      <w:pPr>
        <w:sectPr>
          <w:pgSz w:w="11900" w:h="16838" w:orient="portrait"/>
          <w:cols w:equalWidth="0" w:num="1">
            <w:col w:w="11307"/>
          </w:cols>
          <w:pgMar w:left="293" w:top="771" w:right="299" w:bottom="1440" w:gutter="0" w:footer="0" w:header="0"/>
        </w:sectPr>
      </w:pPr>
    </w:p>
    <w:bookmarkStart w:id="51" w:name="page52"/>
    <w:bookmarkEnd w:id="51"/>
    <w:p>
      <w:pPr>
        <w:jc w:val="right"/>
        <w:spacing w:after="0"/>
        <w:rPr>
          <w:sz w:val="20"/>
          <w:szCs w:val="20"/>
          <w:color w:val="auto"/>
        </w:rPr>
      </w:pPr>
      <w:r>
        <w:rPr>
          <w:rFonts w:ascii="Arial" w:cs="Arial" w:eastAsia="Arial" w:hAnsi="Arial"/>
          <w:sz w:val="11"/>
          <w:szCs w:val="11"/>
          <w:b w:val="1"/>
          <w:bCs w:val="1"/>
          <w:color w:val="auto"/>
        </w:rPr>
        <w:t>EXHIBIT 31.2</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CERTIFICATION</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1"/>
          <w:szCs w:val="11"/>
          <w:color w:val="auto"/>
        </w:rPr>
        <w:t>I, Timothy C. Dec, certify that:</w:t>
      </w:r>
    </w:p>
    <w:p>
      <w:pPr>
        <w:spacing w:after="0" w:line="117" w:lineRule="exact"/>
        <w:rPr>
          <w:sz w:val="20"/>
          <w:szCs w:val="20"/>
          <w:color w:val="auto"/>
        </w:rPr>
      </w:pPr>
    </w:p>
    <w:p>
      <w:pPr>
        <w:ind w:left="447" w:hanging="447"/>
        <w:spacing w:after="0"/>
        <w:tabs>
          <w:tab w:leader="none" w:pos="447" w:val="left"/>
        </w:tabs>
        <w:numPr>
          <w:ilvl w:val="0"/>
          <w:numId w:val="44"/>
        </w:numPr>
        <w:rPr>
          <w:rFonts w:ascii="Arial" w:cs="Arial" w:eastAsia="Arial" w:hAnsi="Arial"/>
          <w:sz w:val="11"/>
          <w:szCs w:val="11"/>
          <w:color w:val="auto"/>
        </w:rPr>
      </w:pPr>
      <w:r>
        <w:rPr>
          <w:rFonts w:ascii="Arial" w:cs="Arial" w:eastAsia="Arial" w:hAnsi="Arial"/>
          <w:sz w:val="12"/>
          <w:szCs w:val="12"/>
          <w:color w:val="auto"/>
        </w:rPr>
        <w:t>I have reviewed this Quarterly Report on Form 10-Q of Supernus Pharmaceuticals, Inc.;</w:t>
      </w:r>
    </w:p>
    <w:p>
      <w:pPr>
        <w:spacing w:after="0" w:line="136" w:lineRule="exact"/>
        <w:rPr>
          <w:rFonts w:ascii="Arial" w:cs="Arial" w:eastAsia="Arial" w:hAnsi="Arial"/>
          <w:sz w:val="11"/>
          <w:szCs w:val="11"/>
          <w:color w:val="auto"/>
        </w:rPr>
      </w:pPr>
    </w:p>
    <w:p>
      <w:pPr>
        <w:ind w:left="447" w:right="60" w:hanging="447"/>
        <w:spacing w:after="0" w:line="283" w:lineRule="auto"/>
        <w:tabs>
          <w:tab w:leader="none" w:pos="447" w:val="left"/>
        </w:tabs>
        <w:numPr>
          <w:ilvl w:val="0"/>
          <w:numId w:val="44"/>
        </w:numPr>
        <w:rPr>
          <w:rFonts w:ascii="Arial" w:cs="Arial" w:eastAsia="Arial" w:hAnsi="Arial"/>
          <w:sz w:val="11"/>
          <w:szCs w:val="11"/>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1"/>
          <w:szCs w:val="11"/>
          <w:color w:val="auto"/>
        </w:rPr>
      </w:pPr>
    </w:p>
    <w:p>
      <w:pPr>
        <w:ind w:left="447" w:right="60" w:hanging="447"/>
        <w:spacing w:after="0" w:line="283" w:lineRule="auto"/>
        <w:tabs>
          <w:tab w:leader="none" w:pos="447" w:val="left"/>
        </w:tabs>
        <w:numPr>
          <w:ilvl w:val="0"/>
          <w:numId w:val="44"/>
        </w:numPr>
        <w:rPr>
          <w:rFonts w:ascii="Arial" w:cs="Arial" w:eastAsia="Arial" w:hAnsi="Arial"/>
          <w:sz w:val="11"/>
          <w:szCs w:val="11"/>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1"/>
          <w:szCs w:val="11"/>
          <w:color w:val="auto"/>
        </w:rPr>
      </w:pPr>
    </w:p>
    <w:p>
      <w:pPr>
        <w:ind w:left="447" w:right="380" w:hanging="447"/>
        <w:spacing w:after="0" w:line="283" w:lineRule="auto"/>
        <w:tabs>
          <w:tab w:leader="none" w:pos="447" w:val="left"/>
        </w:tabs>
        <w:numPr>
          <w:ilvl w:val="0"/>
          <w:numId w:val="44"/>
        </w:numPr>
        <w:rPr>
          <w:rFonts w:ascii="Arial" w:cs="Arial" w:eastAsia="Arial" w:hAnsi="Arial"/>
          <w:sz w:val="11"/>
          <w:szCs w:val="11"/>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1"/>
          <w:szCs w:val="11"/>
          <w:color w:val="auto"/>
        </w:rPr>
      </w:pPr>
    </w:p>
    <w:p>
      <w:pPr>
        <w:ind w:left="887" w:right="80" w:hanging="448"/>
        <w:spacing w:after="0" w:line="283" w:lineRule="auto"/>
        <w:tabs>
          <w:tab w:leader="none" w:pos="880" w:val="left"/>
        </w:tabs>
        <w:numPr>
          <w:ilvl w:val="1"/>
          <w:numId w:val="44"/>
        </w:numPr>
        <w:rPr>
          <w:rFonts w:ascii="Arial" w:cs="Arial" w:eastAsia="Arial" w:hAnsi="Arial"/>
          <w:sz w:val="11"/>
          <w:szCs w:val="11"/>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1"/>
          <w:szCs w:val="11"/>
          <w:color w:val="auto"/>
        </w:rPr>
      </w:pPr>
    </w:p>
    <w:p>
      <w:pPr>
        <w:ind w:left="887" w:right="280" w:hanging="448"/>
        <w:spacing w:after="0" w:line="283" w:lineRule="auto"/>
        <w:tabs>
          <w:tab w:leader="none" w:pos="882" w:val="left"/>
        </w:tabs>
        <w:numPr>
          <w:ilvl w:val="1"/>
          <w:numId w:val="4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2"/>
          <w:szCs w:val="12"/>
          <w:color w:val="auto"/>
        </w:rPr>
      </w:pPr>
    </w:p>
    <w:p>
      <w:pPr>
        <w:ind w:left="887" w:right="180" w:hanging="448"/>
        <w:spacing w:after="0" w:line="283" w:lineRule="auto"/>
        <w:tabs>
          <w:tab w:leader="none" w:pos="885" w:val="left"/>
        </w:tabs>
        <w:numPr>
          <w:ilvl w:val="1"/>
          <w:numId w:val="4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2"/>
          <w:szCs w:val="12"/>
          <w:color w:val="auto"/>
        </w:rPr>
      </w:pPr>
    </w:p>
    <w:p>
      <w:pPr>
        <w:ind w:left="887" w:right="260" w:hanging="448"/>
        <w:spacing w:after="0" w:line="283" w:lineRule="auto"/>
        <w:tabs>
          <w:tab w:leader="none" w:pos="882" w:val="left"/>
        </w:tabs>
        <w:numPr>
          <w:ilvl w:val="1"/>
          <w:numId w:val="4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2"/>
          <w:szCs w:val="12"/>
          <w:color w:val="auto"/>
        </w:rPr>
      </w:pPr>
    </w:p>
    <w:p>
      <w:pPr>
        <w:ind w:left="447" w:right="180" w:hanging="447"/>
        <w:spacing w:after="0" w:line="283" w:lineRule="auto"/>
        <w:tabs>
          <w:tab w:leader="none" w:pos="447" w:val="left"/>
        </w:tabs>
        <w:numPr>
          <w:ilvl w:val="0"/>
          <w:numId w:val="44"/>
        </w:numPr>
        <w:rPr>
          <w:rFonts w:ascii="Arial" w:cs="Arial" w:eastAsia="Arial" w:hAnsi="Arial"/>
          <w:sz w:val="11"/>
          <w:szCs w:val="11"/>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1"/>
          <w:szCs w:val="11"/>
          <w:color w:val="auto"/>
        </w:rPr>
      </w:pPr>
    </w:p>
    <w:p>
      <w:pPr>
        <w:ind w:left="887" w:right="220" w:hanging="448"/>
        <w:spacing w:after="0" w:line="283" w:lineRule="auto"/>
        <w:tabs>
          <w:tab w:leader="none" w:pos="885" w:val="left"/>
        </w:tabs>
        <w:numPr>
          <w:ilvl w:val="1"/>
          <w:numId w:val="4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2"/>
          <w:szCs w:val="12"/>
          <w:color w:val="auto"/>
        </w:rPr>
      </w:pPr>
    </w:p>
    <w:p>
      <w:pPr>
        <w:ind w:left="867" w:hanging="428"/>
        <w:spacing w:after="0"/>
        <w:tabs>
          <w:tab w:leader="none" w:pos="867" w:val="left"/>
        </w:tabs>
        <w:numPr>
          <w:ilvl w:val="1"/>
          <w:numId w:val="4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7"/>
        <w:spacing w:after="0"/>
        <w:tabs>
          <w:tab w:leader="none" w:pos="5386" w:val="left"/>
          <w:tab w:leader="none" w:pos="5806" w:val="left"/>
        </w:tabs>
        <w:rPr>
          <w:sz w:val="20"/>
          <w:szCs w:val="20"/>
          <w:color w:val="auto"/>
        </w:rPr>
      </w:pPr>
      <w:r>
        <w:rPr>
          <w:rFonts w:ascii="Arial" w:cs="Arial" w:eastAsia="Arial" w:hAnsi="Arial"/>
          <w:sz w:val="11"/>
          <w:szCs w:val="11"/>
          <w:color w:val="auto"/>
        </w:rPr>
        <w:t>Date: November 5, 2021</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10160</wp:posOffset>
            </wp:positionV>
            <wp:extent cx="319595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95955" cy="5715"/>
                    </a:xfrm>
                    <a:prstGeom prst="rect">
                      <a:avLst/>
                    </a:prstGeom>
                    <a:noFill/>
                  </pic:spPr>
                </pic:pic>
              </a:graphicData>
            </a:graphic>
          </wp:anchor>
        </w:drawing>
      </w:r>
    </w:p>
    <w:p>
      <w:pPr>
        <w:spacing w:after="0" w:line="9" w:lineRule="exact"/>
        <w:rPr>
          <w:sz w:val="20"/>
          <w:szCs w:val="20"/>
          <w:color w:val="auto"/>
        </w:rPr>
      </w:pPr>
    </w:p>
    <w:p>
      <w:pPr>
        <w:ind w:left="5827"/>
        <w:spacing w:after="0"/>
        <w:rPr>
          <w:sz w:val="20"/>
          <w:szCs w:val="20"/>
          <w:color w:val="auto"/>
        </w:rPr>
      </w:pPr>
      <w:r>
        <w:rPr>
          <w:rFonts w:ascii="Arial" w:cs="Arial" w:eastAsia="Arial" w:hAnsi="Arial"/>
          <w:sz w:val="11"/>
          <w:szCs w:val="11"/>
          <w:color w:val="auto"/>
        </w:rPr>
        <w:t>Timothy C. Dec</w:t>
      </w:r>
    </w:p>
    <w:p>
      <w:pPr>
        <w:spacing w:after="0" w:line="20" w:lineRule="exact"/>
        <w:rPr>
          <w:sz w:val="20"/>
          <w:szCs w:val="20"/>
          <w:color w:val="auto"/>
        </w:rPr>
      </w:pPr>
    </w:p>
    <w:p>
      <w:pPr>
        <w:ind w:left="5827"/>
        <w:spacing w:after="0"/>
        <w:rPr>
          <w:sz w:val="20"/>
          <w:szCs w:val="20"/>
          <w:color w:val="auto"/>
        </w:rPr>
      </w:pPr>
      <w:r>
        <w:rPr>
          <w:rFonts w:ascii="Arial" w:cs="Arial" w:eastAsia="Arial" w:hAnsi="Arial"/>
          <w:sz w:val="11"/>
          <w:szCs w:val="11"/>
          <w:color w:val="auto"/>
        </w:rPr>
        <w:t>Senior Vice President and Chief Financial Officer</w:t>
      </w:r>
    </w:p>
    <w:p>
      <w:pPr>
        <w:sectPr>
          <w:pgSz w:w="11900" w:h="16838" w:orient="portrait"/>
          <w:cols w:equalWidth="0" w:num="1">
            <w:col w:w="11307"/>
          </w:cols>
          <w:pgMar w:left="293" w:top="771"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1"/>
          <w:szCs w:val="11"/>
          <w:b w:val="1"/>
          <w:bCs w:val="1"/>
          <w:color w:val="auto"/>
        </w:rPr>
        <w:t>EXHIBIT 32.1</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SUPERNUS PHARMACEUTICALS, INC.</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CERTIFICATION PURSUANT TO</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18 U.S.C. sec. 1350,</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AS ADOPTED PURSUANT TO</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0"/>
          <w:szCs w:val="10"/>
          <w:color w:val="auto"/>
        </w:rPr>
        <w:t>In connection with the Quarterly Report of Supernus Pharmaceuticals, Inc. (the “Company”) on Form 10-Q for the period ended September 30, 2021 as filed with the Securities and Exchange Commission on the date hereof (the “Report”), I, Jack A.</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1"/>
          <w:szCs w:val="11"/>
          <w:color w:val="auto"/>
        </w:rPr>
        <w:t>Khattar, President and Chief Executive Officer of the Company, certify, pursuant to 18 U.S.C. sec. 1350, as adopted pursuant to Section 906 of the Sarbanes-Oxley Act of 2002, that:</w:t>
      </w:r>
    </w:p>
    <w:p>
      <w:pPr>
        <w:spacing w:after="0" w:line="122" w:lineRule="exact"/>
        <w:rPr>
          <w:sz w:val="20"/>
          <w:szCs w:val="20"/>
          <w:color w:val="auto"/>
        </w:rPr>
      </w:pPr>
    </w:p>
    <w:p>
      <w:pPr>
        <w:ind w:left="520" w:hanging="447"/>
        <w:spacing w:after="0"/>
        <w:tabs>
          <w:tab w:leader="none" w:pos="520"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20" w:lineRule="exact"/>
        <w:rPr>
          <w:rFonts w:ascii="Arial" w:cs="Arial" w:eastAsia="Arial" w:hAnsi="Arial"/>
          <w:sz w:val="11"/>
          <w:szCs w:val="11"/>
          <w:color w:val="auto"/>
        </w:rPr>
      </w:pPr>
    </w:p>
    <w:p>
      <w:pPr>
        <w:ind w:left="520" w:hanging="447"/>
        <w:spacing w:after="0"/>
        <w:tabs>
          <w:tab w:leader="none" w:pos="520"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spacing w:after="0"/>
        <w:tabs>
          <w:tab w:leader="none" w:pos="5240" w:val="left"/>
          <w:tab w:leader="none" w:pos="5700" w:val="left"/>
        </w:tabs>
        <w:rPr>
          <w:sz w:val="20"/>
          <w:szCs w:val="20"/>
          <w:color w:val="auto"/>
        </w:rPr>
      </w:pPr>
      <w:r>
        <w:rPr>
          <w:rFonts w:ascii="Arial" w:cs="Arial" w:eastAsia="Arial" w:hAnsi="Arial"/>
          <w:sz w:val="11"/>
          <w:szCs w:val="11"/>
          <w:color w:val="auto"/>
        </w:rPr>
        <w:t>ovember 5, 2021</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10160</wp:posOffset>
            </wp:positionV>
            <wp:extent cx="331216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12160" cy="571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1"/>
          <w:szCs w:val="11"/>
          <w:color w:val="auto"/>
        </w:rPr>
        <w:t>Jack A. Khattar</w:t>
      </w:r>
    </w:p>
    <w:p>
      <w:pPr>
        <w:ind w:left="5940"/>
        <w:spacing w:after="0"/>
        <w:rPr>
          <w:sz w:val="20"/>
          <w:szCs w:val="20"/>
          <w:color w:val="auto"/>
        </w:rPr>
      </w:pPr>
      <w:r>
        <w:rPr>
          <w:rFonts w:ascii="Arial" w:cs="Arial" w:eastAsia="Arial" w:hAnsi="Arial"/>
          <w:sz w:val="11"/>
          <w:szCs w:val="11"/>
          <w:color w:val="auto"/>
        </w:rPr>
        <w:t>President and Chief Executive Officer</w:t>
      </w:r>
    </w:p>
    <w:p>
      <w:pPr>
        <w:sectPr>
          <w:pgSz w:w="11900" w:h="16838" w:orient="portrait"/>
          <w:cols w:equalWidth="0" w:num="1">
            <w:col w:w="11380"/>
          </w:cols>
          <w:pgMar w:left="220" w:top="771"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1"/>
          <w:szCs w:val="11"/>
          <w:b w:val="1"/>
          <w:bCs w:val="1"/>
          <w:color w:val="auto"/>
        </w:rPr>
        <w:t>EXHIBIT 32.2</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SUPERNUS PHARMACEUTICALS, INC.</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CERTIFICATION PURSUANT TO</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18 U.S.C. sec. 1350,</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AS ADOPTED PURSUANT TO</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0"/>
          <w:szCs w:val="10"/>
          <w:color w:val="auto"/>
        </w:rPr>
        <w:t>In connection with the Quarterly Report of Supernus Pharmaceuticals, Inc. (the “Company”) on Form 10-Q for the period ended September 30, 2021 as filed with the Securities and Exchange Commission on the date hereof (the “Report”), I, Timothy C.</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1"/>
          <w:szCs w:val="11"/>
          <w:color w:val="auto"/>
        </w:rPr>
        <w:t>Dec, Senior Vice President and Chief Financial Officer of the Company, certify, pursuant to 18 U.S.C. sec. 1350, as adopted pursuant to Section 906 of the Sarbanes-Oxley Act of 2002, that:</w:t>
      </w:r>
    </w:p>
    <w:p>
      <w:pPr>
        <w:spacing w:after="0" w:line="122" w:lineRule="exact"/>
        <w:rPr>
          <w:sz w:val="20"/>
          <w:szCs w:val="20"/>
          <w:color w:val="auto"/>
        </w:rPr>
      </w:pPr>
    </w:p>
    <w:p>
      <w:pPr>
        <w:ind w:left="520" w:hanging="447"/>
        <w:spacing w:after="0"/>
        <w:tabs>
          <w:tab w:leader="none" w:pos="520"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20" w:lineRule="exact"/>
        <w:rPr>
          <w:rFonts w:ascii="Arial" w:cs="Arial" w:eastAsia="Arial" w:hAnsi="Arial"/>
          <w:sz w:val="11"/>
          <w:szCs w:val="11"/>
          <w:color w:val="auto"/>
        </w:rPr>
      </w:pPr>
    </w:p>
    <w:p>
      <w:pPr>
        <w:ind w:left="520" w:hanging="447"/>
        <w:spacing w:after="0"/>
        <w:tabs>
          <w:tab w:leader="none" w:pos="520"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spacing w:after="0"/>
        <w:tabs>
          <w:tab w:leader="none" w:pos="5240" w:val="left"/>
          <w:tab w:leader="none" w:pos="5700" w:val="left"/>
        </w:tabs>
        <w:rPr>
          <w:sz w:val="20"/>
          <w:szCs w:val="20"/>
          <w:color w:val="auto"/>
        </w:rPr>
      </w:pPr>
      <w:r>
        <w:rPr>
          <w:rFonts w:ascii="Arial" w:cs="Arial" w:eastAsia="Arial" w:hAnsi="Arial"/>
          <w:sz w:val="11"/>
          <w:szCs w:val="11"/>
          <w:color w:val="auto"/>
        </w:rPr>
        <w:t>ovember 5, 2021</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10160</wp:posOffset>
            </wp:positionV>
            <wp:extent cx="331216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12160" cy="571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1"/>
          <w:szCs w:val="11"/>
          <w:color w:val="auto"/>
        </w:rPr>
        <w:t>Timothy C. Dec</w:t>
      </w:r>
    </w:p>
    <w:p>
      <w:pPr>
        <w:ind w:left="5940"/>
        <w:spacing w:after="0"/>
        <w:rPr>
          <w:sz w:val="20"/>
          <w:szCs w:val="20"/>
          <w:color w:val="auto"/>
        </w:rPr>
      </w:pPr>
      <w:r>
        <w:rPr>
          <w:rFonts w:ascii="Arial" w:cs="Arial" w:eastAsia="Arial" w:hAnsi="Arial"/>
          <w:sz w:val="11"/>
          <w:szCs w:val="11"/>
          <w:color w:val="auto"/>
        </w:rPr>
        <w:t>Senior Vice President and Chief Financial Officer</w:t>
      </w:r>
    </w:p>
    <w:sectPr>
      <w:pgSz w:w="11900" w:h="16838" w:orient="portrait"/>
      <w:cols w:equalWidth="0" w:num="1">
        <w:col w:w="11380"/>
      </w:cols>
      <w:pgMar w:left="220" w:top="7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6"/>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8"/>
    </w:lvl>
  </w:abstractNum>
  <w:abstractNum w:abstractNumId="15">
    <w:nsid w:val="7C3DBD3D"/>
    <w:multiLevelType w:val="hybridMultilevel"/>
    <w:lvl w:ilvl="0">
      <w:lvlJc w:val="left"/>
      <w:lvlText w:val="%1."/>
      <w:numFmt w:val="decimal"/>
      <w:start w:val="10"/>
    </w:lvl>
  </w:abstractNum>
  <w:abstractNum w:abstractNumId="16">
    <w:nsid w:val="737B8DDC"/>
    <w:multiLevelType w:val="hybridMultilevel"/>
    <w:lvl w:ilvl="0">
      <w:lvlJc w:val="left"/>
      <w:lvlText w:val="%1."/>
      <w:numFmt w:val="decimal"/>
      <w:start w:val="11"/>
    </w:lvl>
  </w:abstractNum>
  <w:abstractNum w:abstractNumId="17">
    <w:nsid w:val="6CEAF087"/>
    <w:multiLevelType w:val="hybridMultilevel"/>
    <w:lvl w:ilvl="0">
      <w:lvlJc w:val="left"/>
      <w:lvlText w:val="%1."/>
      <w:numFmt w:val="decimal"/>
      <w:start w:val="12"/>
    </w:lvl>
  </w:abstractNum>
  <w:abstractNum w:abstractNumId="18">
    <w:nsid w:val="22221A70"/>
    <w:multiLevelType w:val="hybridMultilevel"/>
    <w:lvl w:ilvl="0">
      <w:lvlJc w:val="left"/>
      <w:lvlText w:val="%1."/>
      <w:numFmt w:val="decimal"/>
      <w:start w:val="13"/>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4"/>
    </w:lvl>
  </w:abstractNum>
  <w:abstractNum w:abstractNumId="23">
    <w:nsid w:val="5577F8E1"/>
    <w:multiLevelType w:val="hybridMultilevel"/>
    <w:lvl w:ilvl="0">
      <w:lvlJc w:val="left"/>
      <w:lvlText w:val="%1."/>
      <w:numFmt w:val="decimal"/>
      <w:start w:val="15"/>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01"/>
    </w:lvl>
  </w:abstractNum>
  <w:abstractNum w:abstractNumId="37">
    <w:nsid w:val="70A64E2A"/>
    <w:multiLevelType w:val="hybridMultilevel"/>
    <w:lvl w:ilvl="0">
      <w:lvlJc w:val="left"/>
      <w:lvlText w:val="%1"/>
      <w:numFmt w:val="decimal"/>
      <w:start w:val="104"/>
    </w:lvl>
    <w:lvl w:ilvl="1">
      <w:lvlJc w:val="left"/>
      <w:lvlText w:val="[†]"/>
      <w:numFmt w:val="bullet"/>
      <w:start w:val="1"/>
    </w:lvl>
  </w:abstractNum>
  <w:abstractNum w:abstractNumId="38">
    <w:nsid w:val="6A2342EC"/>
    <w:multiLevelType w:val="hybridMultilevel"/>
    <w:lvl w:ilvl="0">
      <w:lvlJc w:val="left"/>
      <w:lvlText w:val="%1."/>
      <w:numFmt w:val="upperLetter"/>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4"/>
    </w:lvl>
  </w:abstractNum>
  <w:abstractNum w:abstractNumId="41">
    <w:nsid w:val="725A06FB"/>
    <w:multiLevelType w:val="hybridMultilevel"/>
    <w:lvl w:ilvl="0">
      <w:lvlJc w:val="left"/>
      <w:lvlText w:val="%1."/>
      <w:numFmt w:val="decimal"/>
      <w:start w:val="6"/>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2021-11-05T15:30:02Z</dcterms:created>
  <dcterms:modified xsi:type="dcterms:W3CDTF">2021-11-05T15:30:02Z</dcterms:modified>
</cp:coreProperties>
</file>