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 w:lineRule="exact"/>
        <w:rPr>
          <w:sz w:val="24"/>
          <w:szCs w:val="24"/>
          <w:color w:val="auto"/>
        </w:rPr>
      </w:pPr>
    </w:p>
    <w:p>
      <w:pPr>
        <w:ind w:left="360" w:right="740" w:hanging="334"/>
        <w:spacing w:after="0" w:line="238" w:lineRule="auto"/>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560" w:right="520" w:hanging="338"/>
        <w:spacing w:after="0" w:line="238" w:lineRule="auto"/>
        <w:tabs>
          <w:tab w:leader="none" w:pos="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5" w:lineRule="exact"/>
        <w:rPr>
          <w:sz w:val="24"/>
          <w:szCs w:val="24"/>
          <w:color w:val="auto"/>
        </w:rPr>
      </w:pPr>
    </w:p>
    <w:p>
      <w:pPr>
        <w:ind w:left="368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001-35518</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SUPERNUS PHARMACEUTICALS,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 w:lineRule="exact"/>
        <w:rPr>
          <w:sz w:val="24"/>
          <w:szCs w:val="24"/>
          <w:color w:val="auto"/>
        </w:rPr>
      </w:pPr>
    </w:p>
    <w:p>
      <w:pPr>
        <w:ind w:left="1700"/>
        <w:spacing w:after="0"/>
        <w:tabs>
          <w:tab w:leader="none" w:pos="874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20-2590184</w:t>
      </w:r>
    </w:p>
    <w:p>
      <w:pPr>
        <w:spacing w:after="0" w:line="23" w:lineRule="exact"/>
        <w:rPr>
          <w:sz w:val="24"/>
          <w:szCs w:val="24"/>
          <w:color w:val="auto"/>
        </w:rPr>
      </w:pPr>
    </w:p>
    <w:p>
      <w:pPr>
        <w:ind w:left="1060"/>
        <w:spacing w:after="0"/>
        <w:tabs>
          <w:tab w:leader="none" w:pos="8580" w:val="left"/>
        </w:tabs>
        <w:rPr>
          <w:sz w:val="20"/>
          <w:szCs w:val="20"/>
          <w:color w:val="auto"/>
        </w:rPr>
      </w:pPr>
      <w:r>
        <w:rPr>
          <w:rFonts w:ascii="Times New Roman" w:cs="Times New Roman" w:eastAsia="Times New Roman" w:hAnsi="Times New Roman"/>
          <w:sz w:val="17"/>
          <w:szCs w:val="17"/>
          <w:color w:val="auto"/>
        </w:rPr>
        <w:t>(State or other jurisdiction of</w:t>
      </w:r>
      <w:r>
        <w:rPr>
          <w:sz w:val="20"/>
          <w:szCs w:val="20"/>
          <w:color w:val="auto"/>
        </w:rPr>
        <w:tab/>
      </w:r>
      <w:r>
        <w:rPr>
          <w:rFonts w:ascii="Times New Roman" w:cs="Times New Roman" w:eastAsia="Times New Roman" w:hAnsi="Times New Roman"/>
          <w:sz w:val="16"/>
          <w:szCs w:val="16"/>
          <w:color w:val="auto"/>
        </w:rPr>
        <w:t>(I.R.S. Employer</w:t>
      </w:r>
    </w:p>
    <w:p>
      <w:pPr>
        <w:ind w:left="1020"/>
        <w:spacing w:after="0"/>
        <w:tabs>
          <w:tab w:leader="none" w:pos="8520" w:val="left"/>
        </w:tabs>
        <w:rPr>
          <w:sz w:val="20"/>
          <w:szCs w:val="20"/>
          <w:color w:val="auto"/>
        </w:rPr>
      </w:pPr>
      <w:r>
        <w:rPr>
          <w:rFonts w:ascii="Times New Roman" w:cs="Times New Roman" w:eastAsia="Times New Roman" w:hAnsi="Times New Roman"/>
          <w:sz w:val="17"/>
          <w:szCs w:val="17"/>
          <w:color w:val="auto"/>
        </w:rPr>
        <w:t>incorporation or organization)</w:t>
      </w:r>
      <w:r>
        <w:rPr>
          <w:sz w:val="20"/>
          <w:szCs w:val="20"/>
          <w:color w:val="auto"/>
        </w:rPr>
        <w:tab/>
      </w:r>
      <w:r>
        <w:rPr>
          <w:rFonts w:ascii="Times New Roman" w:cs="Times New Roman" w:eastAsia="Times New Roman" w:hAnsi="Times New Roman"/>
          <w:sz w:val="17"/>
          <w:szCs w:val="17"/>
          <w:color w:val="auto"/>
        </w:rPr>
        <w:t>Identification No.)</w:t>
      </w:r>
    </w:p>
    <w:p>
      <w:pPr>
        <w:spacing w:after="0" w:line="66" w:lineRule="exact"/>
        <w:rPr>
          <w:sz w:val="24"/>
          <w:szCs w:val="24"/>
          <w:color w:val="auto"/>
        </w:rPr>
      </w:pPr>
    </w:p>
    <w:p>
      <w:pPr>
        <w:ind w:left="1220"/>
        <w:spacing w:after="0"/>
        <w:tabs>
          <w:tab w:leader="none" w:pos="4440" w:val="left"/>
          <w:tab w:leader="none" w:pos="6220" w:val="left"/>
          <w:tab w:leader="none" w:pos="8940" w:val="left"/>
        </w:tabs>
        <w:rPr>
          <w:sz w:val="20"/>
          <w:szCs w:val="20"/>
          <w:color w:val="auto"/>
        </w:rPr>
      </w:pPr>
      <w:r>
        <w:rPr>
          <w:rFonts w:ascii="Times New Roman" w:cs="Times New Roman" w:eastAsia="Times New Roman" w:hAnsi="Times New Roman"/>
          <w:sz w:val="17"/>
          <w:szCs w:val="17"/>
          <w:b w:val="1"/>
          <w:bCs w:val="1"/>
          <w:color w:val="auto"/>
        </w:rPr>
        <w:t>9715 Key West Avenue</w:t>
      </w:r>
      <w:r>
        <w:rPr>
          <w:sz w:val="20"/>
          <w:szCs w:val="20"/>
          <w:color w:val="auto"/>
        </w:rPr>
        <w:tab/>
      </w:r>
      <w:r>
        <w:rPr>
          <w:rFonts w:ascii="Times New Roman" w:cs="Times New Roman" w:eastAsia="Times New Roman" w:hAnsi="Times New Roman"/>
          <w:sz w:val="17"/>
          <w:szCs w:val="17"/>
          <w:b w:val="1"/>
          <w:bCs w:val="1"/>
          <w:color w:val="auto"/>
        </w:rPr>
        <w:t>Rockville</w:t>
      </w:r>
      <w:r>
        <w:rPr>
          <w:sz w:val="20"/>
          <w:szCs w:val="20"/>
          <w:color w:val="auto"/>
        </w:rPr>
        <w:tab/>
      </w:r>
      <w:r>
        <w:rPr>
          <w:rFonts w:ascii="Times New Roman" w:cs="Times New Roman" w:eastAsia="Times New Roman" w:hAnsi="Times New Roman"/>
          <w:sz w:val="17"/>
          <w:szCs w:val="17"/>
          <w:b w:val="1"/>
          <w:bCs w:val="1"/>
          <w:color w:val="auto"/>
        </w:rPr>
        <w:t>MD</w:t>
      </w:r>
      <w:r>
        <w:rPr>
          <w:sz w:val="20"/>
          <w:szCs w:val="20"/>
          <w:color w:val="auto"/>
        </w:rPr>
        <w:tab/>
      </w:r>
      <w:r>
        <w:rPr>
          <w:rFonts w:ascii="Times New Roman" w:cs="Times New Roman" w:eastAsia="Times New Roman" w:hAnsi="Times New Roman"/>
          <w:sz w:val="16"/>
          <w:szCs w:val="16"/>
          <w:b w:val="1"/>
          <w:bCs w:val="1"/>
          <w:color w:val="auto"/>
        </w:rPr>
        <w:t>20850</w:t>
      </w:r>
    </w:p>
    <w:p>
      <w:pPr>
        <w:spacing w:after="0" w:line="38" w:lineRule="exact"/>
        <w:rPr>
          <w:sz w:val="24"/>
          <w:szCs w:val="24"/>
          <w:color w:val="auto"/>
        </w:rPr>
      </w:pPr>
    </w:p>
    <w:p>
      <w:pPr>
        <w:ind w:left="700"/>
        <w:spacing w:after="0"/>
        <w:tabs>
          <w:tab w:leader="none" w:pos="8780" w:val="left"/>
        </w:tabs>
        <w:rPr>
          <w:sz w:val="20"/>
          <w:szCs w:val="20"/>
          <w:color w:val="auto"/>
        </w:rPr>
      </w:pPr>
      <w:r>
        <w:rPr>
          <w:rFonts w:ascii="Times New Roman" w:cs="Times New Roman" w:eastAsia="Times New Roman" w:hAnsi="Times New Roman"/>
          <w:sz w:val="17"/>
          <w:szCs w:val="17"/>
          <w:color w:val="auto"/>
        </w:rPr>
        <w:t>(Address of principal executive offices)</w:t>
      </w:r>
      <w:r>
        <w:rPr>
          <w:sz w:val="20"/>
          <w:szCs w:val="20"/>
          <w:color w:val="auto"/>
        </w:rPr>
        <w:tab/>
      </w:r>
      <w:r>
        <w:rPr>
          <w:rFonts w:ascii="Times New Roman" w:cs="Times New Roman" w:eastAsia="Times New Roman" w:hAnsi="Times New Roman"/>
          <w:sz w:val="17"/>
          <w:szCs w:val="17"/>
          <w:color w:val="auto"/>
        </w:rPr>
        <w:t>(Zip Code)</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(301) 838-2500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5" w:lineRule="exact"/>
        <w:rPr>
          <w:sz w:val="24"/>
          <w:szCs w:val="24"/>
          <w:color w:val="auto"/>
        </w:rPr>
      </w:pPr>
    </w:p>
    <w:p>
      <w:pPr>
        <w:ind w:right="6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57" w:lineRule="exact"/>
        <w:rPr>
          <w:sz w:val="24"/>
          <w:szCs w:val="24"/>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pursuant to Rule 405 of Regulation S-T (§232.405 of this chapter) during the preceding 12 months (or for such shorter period that the registrant was required to submit such files).</w:t>
      </w:r>
    </w:p>
    <w:p>
      <w:pPr>
        <w:spacing w:after="0" w:line="1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No </w:t>
      </w:r>
      <w:r>
        <w:rPr>
          <w:rFonts w:ascii="MS PGothic" w:cs="MS PGothic" w:eastAsia="MS PGothic" w:hAnsi="MS PGothic"/>
          <w:sz w:val="18"/>
          <w:szCs w:val="18"/>
          <w:color w:val="auto"/>
        </w:rPr>
        <w:t>☐</w:t>
      </w:r>
    </w:p>
    <w:p>
      <w:pPr>
        <w:spacing w:after="0" w:line="119" w:lineRule="exact"/>
        <w:rPr>
          <w:sz w:val="24"/>
          <w:szCs w:val="24"/>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480" w:type="dxa"/>
        <w:tblCellMar>
          <w:top w:w="0" w:type="dxa"/>
          <w:left w:w="0" w:type="dxa"/>
          <w:bottom w:w="0" w:type="dxa"/>
          <w:right w:w="0" w:type="dxa"/>
        </w:tblCellMar>
      </w:tblPr>
      <w:tr>
        <w:trPr>
          <w:trHeight w:val="277"/>
        </w:trPr>
        <w:tc>
          <w:tcPr>
            <w:tcW w:w="21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Large accelerated filer</w:t>
            </w:r>
          </w:p>
        </w:tc>
        <w:tc>
          <w:tcPr>
            <w:tcW w:w="1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Non-accelerated filer</w:t>
            </w:r>
          </w:p>
        </w:tc>
        <w:tc>
          <w:tcPr>
            <w:tcW w:w="1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1" w:lineRule="exact"/>
        <w:rPr>
          <w:sz w:val="24"/>
          <w:szCs w:val="24"/>
          <w:color w:val="auto"/>
        </w:rPr>
      </w:pPr>
    </w:p>
    <w:p>
      <w:pPr>
        <w:ind w:right="180" w:firstLine="324"/>
        <w:spacing w:after="0" w:line="28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340" w:right="1660"/>
        <w:spacing w:after="0" w:line="26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Securities registered pursuant to Section 12(b)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at October 31, 2022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1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Common Stock, $0.001 par value per</w:t>
            </w:r>
          </w:p>
        </w:tc>
        <w:tc>
          <w:tcPr>
            <w:tcW w:w="100" w:type="dxa"/>
            <w:vAlign w:val="bottom"/>
          </w:tcPr>
          <w:p>
            <w:pPr>
              <w:spacing w:after="0"/>
              <w:rPr>
                <w:sz w:val="15"/>
                <w:szCs w:val="15"/>
                <w:color w:val="auto"/>
              </w:rPr>
            </w:pPr>
          </w:p>
        </w:tc>
        <w:tc>
          <w:tcPr>
            <w:tcW w:w="2600" w:type="dxa"/>
            <w:vAlign w:val="bottom"/>
            <w:vMerge w:val="restart"/>
          </w:tcPr>
          <w:p>
            <w:pPr>
              <w:jc w:val="right"/>
              <w:ind w:right="819"/>
              <w:spacing w:after="0"/>
              <w:rPr>
                <w:sz w:val="20"/>
                <w:szCs w:val="20"/>
                <w:color w:val="auto"/>
              </w:rPr>
            </w:pPr>
            <w:r>
              <w:rPr>
                <w:rFonts w:ascii="Times New Roman" w:cs="Times New Roman" w:eastAsia="Times New Roman" w:hAnsi="Times New Roman"/>
                <w:sz w:val="18"/>
                <w:szCs w:val="18"/>
                <w:color w:val="auto"/>
              </w:rPr>
              <w:t>54,058,138</w:t>
            </w:r>
          </w:p>
        </w:tc>
        <w:tc>
          <w:tcPr>
            <w:tcW w:w="10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SUPN</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w:t>
            </w:r>
          </w:p>
        </w:tc>
        <w:tc>
          <w:tcPr>
            <w:tcW w:w="2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240" w:type="dxa"/>
            <w:vAlign w:val="bottom"/>
            <w:gridSpan w:val="2"/>
            <w:vMerge w:val="continue"/>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3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360" w:type="dxa"/>
            <w:vAlign w:val="bottom"/>
            <w:gridSpan w:val="21"/>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Unaudited Condensed Consolidated Financial Statements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8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1E39C6"/>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w:t>
            </w:r>
          </w:p>
        </w:tc>
        <w:tc>
          <w:tcPr>
            <w:tcW w:w="4900" w:type="dxa"/>
            <w:vAlign w:val="bottom"/>
            <w:gridSpan w:val="3"/>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w:t>
            </w:r>
          </w:p>
        </w:tc>
        <w:tc>
          <w:tcPr>
            <w:tcW w:w="4360" w:type="dxa"/>
            <w:vAlign w:val="bottom"/>
            <w:gridSpan w:val="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4"/>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7500" w:type="dxa"/>
            <w:vAlign w:val="bottom"/>
            <w:gridSpan w:val="1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00" w:type="dxa"/>
            <w:vAlign w:val="bottom"/>
            <w:gridSpan w:val="13"/>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4"/>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920" w:type="dxa"/>
            <w:vAlign w:val="bottom"/>
            <w:gridSpan w:val="4"/>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6940" w:type="dxa"/>
            <w:vAlign w:val="bottom"/>
            <w:gridSpan w:val="10"/>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7500" w:type="dxa"/>
            <w:vAlign w:val="bottom"/>
            <w:gridSpan w:val="1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960" w:type="dxa"/>
            <w:vAlign w:val="bottom"/>
            <w:gridSpan w:val="15"/>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80" w:type="dxa"/>
            <w:vAlign w:val="bottom"/>
            <w:gridSpan w:val="1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1100" w:type="dxa"/>
            <w:vAlign w:val="bottom"/>
            <w:tcBorders>
              <w:top w:val="single" w:sz="8" w:color="0000FF"/>
            </w:tcBorders>
            <w:gridSpan w:val="3"/>
          </w:tcPr>
          <w:p>
            <w:pPr>
              <w:spacing w:after="0"/>
              <w:rPr>
                <w:sz w:val="24"/>
                <w:szCs w:val="24"/>
                <w:color w:val="auto"/>
              </w:rPr>
            </w:pPr>
          </w:p>
        </w:tc>
        <w:tc>
          <w:tcPr>
            <w:tcW w:w="4900" w:type="dxa"/>
            <w:vAlign w:val="bottom"/>
            <w:gridSpan w:val="16"/>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8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203,434</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136,246</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148,932</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85,959</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27,019</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601,590</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16,955</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784,693</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117,516</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49,232</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1,689,152</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117,683</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132,724</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20,132</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315,379</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notes, net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379,252</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long-term</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35,637</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41,298</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85,355</w:t>
            </w:r>
          </w:p>
        </w:tc>
      </w:tr>
      <w:tr>
        <w:trPr>
          <w:trHeight w:val="230"/>
        </w:trPr>
        <w:tc>
          <w:tcPr>
            <w:tcW w:w="8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873,301</w:t>
            </w:r>
          </w:p>
        </w:tc>
      </w:tr>
      <w:tr>
        <w:trPr>
          <w:trHeight w:val="196"/>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5"/>
        </w:trPr>
        <w:tc>
          <w:tcPr>
            <w:tcW w:w="85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$0.001 par value; 130,000,000 shares authorized; 54,053,513 and 53,256,094 shares issued and</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September 30, 2022 and December 31, 2021, respectively</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434,337</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earnings (loss), net of tax</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379,922</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815,851</w:t>
            </w:r>
          </w:p>
        </w:tc>
      </w:tr>
      <w:tr>
        <w:trPr>
          <w:trHeight w:val="196"/>
        </w:trPr>
        <w:tc>
          <w:tcPr>
            <w:tcW w:w="8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1,689,152</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480" w:type="dxa"/>
            <w:vAlign w:val="bottom"/>
            <w:gridSpan w:val="4"/>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7"/>
                <w:szCs w:val="17"/>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145,532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485,647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412,541</w:t>
            </w: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Royalty revenues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r>
      <w:tr>
        <w:trPr>
          <w:trHeight w:val="223"/>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420,725</w:t>
            </w:r>
          </w:p>
        </w:tc>
      </w:tr>
      <w:tr>
        <w:trPr>
          <w:trHeight w:val="237"/>
        </w:trPr>
        <w:tc>
          <w:tcPr>
            <w:tcW w:w="56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6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58,067</w:t>
            </w: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69,389</w:t>
            </w: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203,024</w:t>
            </w:r>
          </w:p>
        </w:tc>
      </w:tr>
      <w:tr>
        <w:trPr>
          <w:trHeight w:val="229"/>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w:t>
            </w: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expense (gain)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r>
      <w:tr>
        <w:trPr>
          <w:trHeight w:val="223"/>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340,794</w:t>
            </w:r>
          </w:p>
        </w:tc>
      </w:tr>
      <w:tr>
        <w:trPr>
          <w:trHeight w:val="237"/>
        </w:trPr>
        <w:tc>
          <w:tcPr>
            <w:tcW w:w="5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earnings (loss)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79,931</w:t>
            </w:r>
          </w:p>
        </w:tc>
      </w:tr>
      <w:tr>
        <w:trPr>
          <w:trHeight w:val="237"/>
        </w:trPr>
        <w:tc>
          <w:tcPr>
            <w:tcW w:w="5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w:t>
            </w:r>
          </w:p>
        </w:tc>
      </w:tr>
      <w:tr>
        <w:trPr>
          <w:trHeight w:val="229"/>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r>
      <w:tr>
        <w:trPr>
          <w:trHeight w:val="237"/>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71,124</w:t>
            </w:r>
          </w:p>
        </w:tc>
      </w:tr>
      <w:tr>
        <w:trPr>
          <w:trHeight w:val="257"/>
        </w:trPr>
        <w:tc>
          <w:tcPr>
            <w:tcW w:w="5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20,142</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56"/>
        </w:trPr>
        <w:tc>
          <w:tcPr>
            <w:tcW w:w="5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53,789,674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53,187,764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53,517,838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53,053,441</w:t>
            </w:r>
          </w:p>
        </w:tc>
      </w:tr>
      <w:tr>
        <w:trPr>
          <w:trHeight w:val="234"/>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55,034,838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54,334,794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61,543,121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54,301,461</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79"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Excludes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80"/>
          </w:cols>
          <w:pgMar w:left="320" w:top="121" w:right="2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21,562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35,230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50,982</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(5,585)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(4,766)</w:t>
            </w:r>
          </w:p>
        </w:tc>
      </w:tr>
      <w:tr>
        <w:trPr>
          <w:trHeight w:val="22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8"/>
              </w:rPr>
              <w:t>(5,585)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(4,766)</w:t>
            </w:r>
          </w:p>
        </w:tc>
      </w:tr>
      <w:tr>
        <w:trPr>
          <w:trHeight w:val="237"/>
        </w:trPr>
        <w:tc>
          <w:tcPr>
            <w:tcW w:w="5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20,338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29,645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46,216</w:t>
            </w:r>
          </w:p>
        </w:tc>
      </w:tr>
      <w:tr>
        <w:trPr>
          <w:trHeight w:val="21"/>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48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9"/>
        </w:trPr>
        <w:tc>
          <w:tcPr>
            <w:tcW w:w="294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9"/>
                <w:szCs w:val="9"/>
                <w:color w:val="auto"/>
              </w:rPr>
            </w:pPr>
          </w:p>
        </w:tc>
        <w:tc>
          <w:tcPr>
            <w:tcW w:w="156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1100" w:type="dxa"/>
            <w:vAlign w:val="bottom"/>
            <w:gridSpan w:val="2"/>
            <w:vMerge w:val="restart"/>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9"/>
                <w:szCs w:val="9"/>
                <w:color w:val="auto"/>
              </w:rPr>
            </w:pPr>
          </w:p>
        </w:tc>
        <w:tc>
          <w:tcPr>
            <w:tcW w:w="1220" w:type="dxa"/>
            <w:vAlign w:val="bottom"/>
            <w:vMerge w:val="restart"/>
          </w:tcPr>
          <w:p>
            <w:pPr>
              <w:jc w:val="center"/>
              <w:ind w:right="113"/>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53,256,094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815,851</w:t>
            </w:r>
          </w:p>
        </w:tc>
        <w:tc>
          <w:tcPr>
            <w:tcW w:w="0" w:type="dxa"/>
            <w:vAlign w:val="bottom"/>
          </w:tcPr>
          <w:p>
            <w:pPr>
              <w:spacing w:after="0"/>
              <w:rPr>
                <w:sz w:val="1"/>
                <w:szCs w:val="1"/>
                <w:color w:val="auto"/>
              </w:rPr>
            </w:pPr>
          </w:p>
        </w:tc>
      </w:tr>
      <w:tr>
        <w:trPr>
          <w:trHeight w:val="176"/>
        </w:trPr>
        <w:tc>
          <w:tcPr>
            <w:tcW w:w="2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Cumulative effect of adoption of ASU</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2020-06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January 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53,256,094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800,251</w:t>
            </w:r>
          </w:p>
        </w:tc>
        <w:tc>
          <w:tcPr>
            <w:tcW w:w="0" w:type="dxa"/>
            <w:vAlign w:val="bottom"/>
          </w:tcPr>
          <w:p>
            <w:pPr>
              <w:spacing w:after="0"/>
              <w:rPr>
                <w:sz w:val="1"/>
                <w:szCs w:val="1"/>
                <w:color w:val="auto"/>
              </w:rPr>
            </w:pPr>
          </w:p>
        </w:tc>
      </w:tr>
      <w:tr>
        <w:trPr>
          <w:trHeight w:val="229"/>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connection with the Company’s equity</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award plans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9"/>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2022</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53,386,305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383,016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446,150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828,446</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0" w:type="dxa"/>
            <w:vAlign w:val="bottom"/>
          </w:tcPr>
          <w:p>
            <w:pPr>
              <w:spacing w:after="0"/>
              <w:rPr>
                <w:sz w:val="1"/>
                <w:szCs w:val="1"/>
                <w:color w:val="auto"/>
              </w:rPr>
            </w:pPr>
          </w:p>
        </w:tc>
      </w:tr>
      <w:tr>
        <w:trPr>
          <w:trHeight w:val="176"/>
        </w:trPr>
        <w:tc>
          <w:tcPr>
            <w:tcW w:w="2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connection with the Company’s equity</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award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0" w:type="dxa"/>
            <w:vAlign w:val="bottom"/>
          </w:tcPr>
          <w:p>
            <w:pPr>
              <w:spacing w:after="0"/>
              <w:rPr>
                <w:sz w:val="1"/>
                <w:szCs w:val="1"/>
                <w:color w:val="auto"/>
              </w:rPr>
            </w:pPr>
          </w:p>
        </w:tc>
      </w:tr>
      <w:tr>
        <w:trPr>
          <w:trHeight w:val="175"/>
        </w:trPr>
        <w:tc>
          <w:tcPr>
            <w:tcW w:w="2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53,492,386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841,434</w:t>
            </w:r>
          </w:p>
        </w:tc>
        <w:tc>
          <w:tcPr>
            <w:tcW w:w="0" w:type="dxa"/>
            <w:vAlign w:val="bottom"/>
          </w:tcPr>
          <w:p>
            <w:pPr>
              <w:spacing w:after="0"/>
              <w:rPr>
                <w:sz w:val="1"/>
                <w:szCs w:val="1"/>
                <w:color w:val="auto"/>
              </w:rPr>
            </w:pPr>
          </w:p>
        </w:tc>
      </w:tr>
      <w:tr>
        <w:trPr>
          <w:trHeight w:val="230"/>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connection with the Company’s equity</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award plans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0" w:type="dxa"/>
            <w:vAlign w:val="bottom"/>
          </w:tcPr>
          <w:p>
            <w:pPr>
              <w:spacing w:after="0"/>
              <w:rPr>
                <w:sz w:val="1"/>
                <w:szCs w:val="1"/>
                <w:color w:val="auto"/>
              </w:rPr>
            </w:pPr>
          </w:p>
        </w:tc>
      </w:tr>
      <w:tr>
        <w:trPr>
          <w:trHeight w:val="230"/>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2022</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54,053,513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852,798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24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5"/>
                <w:szCs w:val="5"/>
                <w:color w:val="auto"/>
              </w:rPr>
            </w:pPr>
          </w:p>
        </w:tc>
        <w:tc>
          <w:tcPr>
            <w:tcW w:w="156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5"/>
                <w:szCs w:val="5"/>
                <w:color w:val="auto"/>
              </w:rPr>
            </w:pPr>
          </w:p>
        </w:tc>
        <w:tc>
          <w:tcPr>
            <w:tcW w:w="1100" w:type="dxa"/>
            <w:vAlign w:val="bottom"/>
            <w:gridSpan w:val="2"/>
            <w:vMerge w:val="restart"/>
          </w:tcPr>
          <w:p>
            <w:pPr>
              <w:ind w:left="12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5"/>
                <w:szCs w:val="5"/>
                <w:color w:val="auto"/>
              </w:rPr>
            </w:pPr>
          </w:p>
        </w:tc>
        <w:tc>
          <w:tcPr>
            <w:tcW w:w="1220" w:type="dxa"/>
            <w:vAlign w:val="bottom"/>
            <w:vMerge w:val="restart"/>
          </w:tcPr>
          <w:p>
            <w:pPr>
              <w:jc w:val="center"/>
              <w:ind w:right="113"/>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2940" w:type="dxa"/>
            <w:vAlign w:val="bottom"/>
          </w:tcPr>
          <w:p>
            <w:pPr>
              <w:spacing w:after="0"/>
              <w:rPr>
                <w:sz w:val="2"/>
                <w:szCs w:val="2"/>
                <w:color w:val="auto"/>
              </w:rPr>
            </w:pPr>
          </w:p>
        </w:tc>
        <w:tc>
          <w:tcPr>
            <w:tcW w:w="13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2"/>
                <w:szCs w:val="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9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52,868,482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744,858</w:t>
            </w:r>
          </w:p>
        </w:tc>
        <w:tc>
          <w:tcPr>
            <w:tcW w:w="0" w:type="dxa"/>
            <w:vAlign w:val="bottom"/>
          </w:tcPr>
          <w:p>
            <w:pPr>
              <w:spacing w:after="0"/>
              <w:rPr>
                <w:sz w:val="1"/>
                <w:szCs w:val="1"/>
                <w:color w:val="auto"/>
              </w:rPr>
            </w:pPr>
          </w:p>
        </w:tc>
      </w:tr>
      <w:tr>
        <w:trPr>
          <w:trHeight w:val="230"/>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connection with the Company’s equity</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award plans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29"/>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2021</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52,994,137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415,950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332,192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754,444</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0" w:type="dxa"/>
            <w:vAlign w:val="bottom"/>
          </w:tcPr>
          <w:p>
            <w:pPr>
              <w:spacing w:after="0"/>
              <w:rPr>
                <w:sz w:val="1"/>
                <w:szCs w:val="1"/>
                <w:color w:val="auto"/>
              </w:rPr>
            </w:pPr>
          </w:p>
        </w:tc>
      </w:tr>
      <w:tr>
        <w:trPr>
          <w:trHeight w:val="176"/>
        </w:trPr>
        <w:tc>
          <w:tcPr>
            <w:tcW w:w="2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connection with the Company’s equity</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award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23,726</w:t>
            </w:r>
          </w:p>
        </w:tc>
        <w:tc>
          <w:tcPr>
            <w:tcW w:w="0" w:type="dxa"/>
            <w:vAlign w:val="bottom"/>
          </w:tcPr>
          <w:p>
            <w:pPr>
              <w:spacing w:after="0"/>
              <w:rPr>
                <w:sz w:val="1"/>
                <w:szCs w:val="1"/>
                <w:color w:val="auto"/>
              </w:rPr>
            </w:pPr>
          </w:p>
        </w:tc>
      </w:tr>
      <w:tr>
        <w:trPr>
          <w:trHeight w:val="176"/>
        </w:trPr>
        <w:tc>
          <w:tcPr>
            <w:tcW w:w="2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53,144,759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785,579</w:t>
            </w:r>
          </w:p>
        </w:tc>
        <w:tc>
          <w:tcPr>
            <w:tcW w:w="0" w:type="dxa"/>
            <w:vAlign w:val="bottom"/>
          </w:tcPr>
          <w:p>
            <w:pPr>
              <w:spacing w:after="0"/>
              <w:rPr>
                <w:sz w:val="1"/>
                <w:szCs w:val="1"/>
                <w:color w:val="auto"/>
              </w:rPr>
            </w:pPr>
          </w:p>
        </w:tc>
      </w:tr>
      <w:tr>
        <w:trPr>
          <w:trHeight w:val="229"/>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connection with the Company’s equity</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award plans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2021</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53,180,643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810,468</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50,982</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19,888</w:t>
            </w:r>
          </w:p>
        </w:tc>
      </w:tr>
      <w:tr>
        <w:trPr>
          <w:trHeight w:val="230"/>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Navitor investment R&amp;D expense (see Note 5)</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income from Navitor (see Note 5)</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w:t>
            </w:r>
          </w:p>
        </w:tc>
      </w:tr>
      <w:tr>
        <w:trPr>
          <w:trHeight w:val="230"/>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Realized gains from sales of marketable securities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premium/discount on marketable securities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30"/>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r>
      <w:tr>
        <w:trPr>
          <w:trHeight w:val="229"/>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noncash adjustments,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r>
      <w:tr>
        <w:trPr>
          <w:trHeight w:val="230"/>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9"/>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r>
      <w:tr>
        <w:trPr>
          <w:trHeight w:val="230"/>
        </w:trPr>
        <w:tc>
          <w:tcPr>
            <w:tcW w:w="8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w:t>
            </w:r>
          </w:p>
        </w:tc>
      </w:tr>
      <w:tr>
        <w:trPr>
          <w:trHeight w:val="229"/>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w:t>
            </w:r>
          </w:p>
        </w:tc>
      </w:tr>
      <w:tr>
        <w:trPr>
          <w:trHeight w:val="230"/>
        </w:trPr>
        <w:tc>
          <w:tcPr>
            <w:tcW w:w="8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w:t>
            </w:r>
          </w:p>
        </w:tc>
      </w:tr>
      <w:tr>
        <w:trPr>
          <w:trHeight w:val="229"/>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r>
      <w:tr>
        <w:trPr>
          <w:trHeight w:val="230"/>
        </w:trPr>
        <w:tc>
          <w:tcPr>
            <w:tcW w:w="83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78,364</w:t>
            </w:r>
          </w:p>
        </w:tc>
      </w:tr>
      <w:tr>
        <w:trPr>
          <w:trHeight w:val="128"/>
        </w:trPr>
        <w:tc>
          <w:tcPr>
            <w:tcW w:w="8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(307,634)</w:t>
            </w:r>
          </w:p>
        </w:tc>
      </w:tr>
      <w:tr>
        <w:trPr>
          <w:trHeight w:val="229"/>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152,546</w:t>
            </w:r>
          </w:p>
        </w:tc>
      </w:tr>
      <w:tr>
        <w:trPr>
          <w:trHeight w:val="230"/>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of property and equipment and deferred legal fees paid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USWM, net of cash acquired</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(167,898)</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(158,043)</w:t>
            </w:r>
          </w:p>
        </w:tc>
      </w:tr>
      <w:tr>
        <w:trPr>
          <w:trHeight w:val="128"/>
        </w:trPr>
        <w:tc>
          <w:tcPr>
            <w:tcW w:w="8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r>
      <w:tr>
        <w:trPr>
          <w:trHeight w:val="229"/>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governmental loan and grant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(13,306)</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w:t>
            </w:r>
          </w:p>
        </w:tc>
      </w:tr>
      <w:tr>
        <w:trPr>
          <w:trHeight w:val="128"/>
        </w:trPr>
        <w:tc>
          <w:tcPr>
            <w:tcW w:w="8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(73,359)</w:t>
            </w:r>
          </w:p>
        </w:tc>
      </w:tr>
      <w:tr>
        <w:trPr>
          <w:trHeight w:val="230"/>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288,640</w:t>
            </w:r>
          </w:p>
        </w:tc>
      </w:tr>
      <w:tr>
        <w:trPr>
          <w:trHeight w:val="223"/>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111,492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215,281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5"/>
        </w:trPr>
        <w:tc>
          <w:tcPr>
            <w:tcW w:w="8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paid for interest on convertible notes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30"/>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25,111</w:t>
            </w:r>
          </w:p>
        </w:tc>
      </w:tr>
      <w:tr>
        <w:trPr>
          <w:trHeight w:val="230"/>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r>
      <w:tr>
        <w:trPr>
          <w:trHeight w:val="149"/>
        </w:trPr>
        <w:tc>
          <w:tcPr>
            <w:tcW w:w="8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 assets obtained for new operating leases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r>
      <w:tr>
        <w:trPr>
          <w:trHeight w:val="229"/>
        </w:trPr>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legal fees and fixed assets included in accounts payable and accrued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4"/>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and equipment additions from utilization of tenant improvement allowance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Organization</w:t>
      </w:r>
    </w:p>
    <w:p>
      <w:pPr>
        <w:spacing w:after="0" w:line="16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Supernus Pharmaceuticals, Inc. (the Company)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Products</w:t>
      </w:r>
    </w:p>
    <w:p>
      <w:pPr>
        <w:spacing w:after="0" w:line="183" w:lineRule="exact"/>
        <w:rPr>
          <w:sz w:val="20"/>
          <w:szCs w:val="20"/>
          <w:color w:val="auto"/>
        </w:rPr>
      </w:pPr>
    </w:p>
    <w:p>
      <w:pPr>
        <w:ind w:left="660" w:right="40" w:hanging="328"/>
        <w:spacing w:after="0" w:line="23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(topiramate) is the first once-daily extended-release topiramate product indicated for the treatment of epilepsy in patients 6 years of age and older in the United States (U.S.) market. It is also indicated for the prophylaxis of migraine headache in adults and adolescents 12 years and older.</w:t>
      </w:r>
    </w:p>
    <w:p>
      <w:pPr>
        <w:spacing w:after="0" w:line="159" w:lineRule="exact"/>
        <w:rPr>
          <w:rFonts w:ascii="Times New Roman" w:cs="Times New Roman" w:eastAsia="Times New Roman" w:hAnsi="Times New Roman"/>
          <w:sz w:val="18"/>
          <w:szCs w:val="18"/>
          <w:color w:val="auto"/>
        </w:rPr>
      </w:pPr>
    </w:p>
    <w:p>
      <w:pPr>
        <w:ind w:left="660" w:right="240" w:hanging="328"/>
        <w:spacing w:after="0" w:line="22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(oxcarbazepine) is indicated as therapy for the treatment of partial onset seizures in patients 6 years of age and older. It is also the first once-daily extended-release oxcarbazepine product indicated for the treatment of epilepsy in the U.S.</w:t>
      </w:r>
    </w:p>
    <w:p>
      <w:pPr>
        <w:spacing w:after="0" w:line="167" w:lineRule="exact"/>
        <w:rPr>
          <w:rFonts w:ascii="Times New Roman" w:cs="Times New Roman" w:eastAsia="Times New Roman" w:hAnsi="Times New Roman"/>
          <w:sz w:val="18"/>
          <w:szCs w:val="18"/>
          <w:color w:val="auto"/>
        </w:rPr>
      </w:pPr>
    </w:p>
    <w:p>
      <w:pPr>
        <w:ind w:left="660" w:right="60" w:hanging="328"/>
        <w:spacing w:after="0"/>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(viloxazine extended-release capsules) is a novel non-stimulant product indicated for the treatment of ADHD in adults and pediatric patients 6 years and older. On April 2, 2021, the U.S. Food and Drug Administration (FDA) approved Qelbree for the treatment of ADHD in pediatric patients 6 to 17 years of age. In May 2021, the Company launched Qelbree for pediatric patients in the U.S. On April 29, 2022, the FDA approved Qelbree for treatment of ADHD in adult patients. The Company launched Qelbree for adult patients in May 2022.</w:t>
      </w:r>
    </w:p>
    <w:p>
      <w:pPr>
        <w:spacing w:after="0" w:line="154" w:lineRule="exact"/>
        <w:rPr>
          <w:rFonts w:ascii="Times New Roman" w:cs="Times New Roman" w:eastAsia="Times New Roman" w:hAnsi="Times New Roman"/>
          <w:sz w:val="18"/>
          <w:szCs w:val="18"/>
          <w:color w:val="auto"/>
        </w:rPr>
      </w:pPr>
    </w:p>
    <w:p>
      <w:pPr>
        <w:jc w:val="both"/>
        <w:ind w:left="660" w:right="360" w:hanging="328"/>
        <w:spacing w:after="0" w:line="23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spacing w:after="0" w:line="159" w:lineRule="exact"/>
        <w:rPr>
          <w:rFonts w:ascii="Times New Roman" w:cs="Times New Roman" w:eastAsia="Times New Roman" w:hAnsi="Times New Roman"/>
          <w:sz w:val="18"/>
          <w:szCs w:val="18"/>
          <w:color w:val="auto"/>
        </w:rPr>
      </w:pPr>
    </w:p>
    <w:p>
      <w:pPr>
        <w:ind w:left="660" w:right="400" w:hanging="328"/>
        <w:spacing w:after="0" w:line="22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(apomorphine hydrochloride injection) is a product indicated for the acute, intermittent treatment of hypomobility, "off" episodes ("end-of-dose wearing off" and unpredictable "on/off" episodes) in patients with advanced PD.</w:t>
      </w:r>
    </w:p>
    <w:p>
      <w:pPr>
        <w:spacing w:after="0" w:line="167" w:lineRule="exact"/>
        <w:rPr>
          <w:rFonts w:ascii="Times New Roman" w:cs="Times New Roman" w:eastAsia="Times New Roman" w:hAnsi="Times New Roman"/>
          <w:sz w:val="18"/>
          <w:szCs w:val="18"/>
          <w:color w:val="auto"/>
        </w:rPr>
      </w:pPr>
    </w:p>
    <w:p>
      <w:pPr>
        <w:ind w:left="660" w:right="180" w:hanging="328"/>
        <w:spacing w:after="0" w:line="23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(safinamide) is a once-daily product indicated as adjunctive treatment to levodopa/carbidopa in patients with PD experiencing "off" episodes.</w:t>
      </w:r>
    </w:p>
    <w:p>
      <w:pPr>
        <w:spacing w:after="0" w:line="155" w:lineRule="exact"/>
        <w:rPr>
          <w:rFonts w:ascii="Times New Roman" w:cs="Times New Roman" w:eastAsia="Times New Roman" w:hAnsi="Times New Roman"/>
          <w:sz w:val="18"/>
          <w:szCs w:val="18"/>
          <w:color w:val="auto"/>
        </w:rPr>
      </w:pPr>
    </w:p>
    <w:p>
      <w:pPr>
        <w:ind w:left="660" w:right="200" w:hanging="328"/>
        <w:spacing w:after="0" w:line="23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Osmolex 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(amantadine) extended-release is a once-daily product for the treatment of PD and drug-induced extrapyramidal reactions in adult patients.</w:t>
      </w:r>
    </w:p>
    <w:p>
      <w:pPr>
        <w:spacing w:after="0" w:line="159" w:lineRule="exact"/>
        <w:rPr>
          <w:rFonts w:ascii="Times New Roman" w:cs="Times New Roman" w:eastAsia="Times New Roman" w:hAnsi="Times New Roman"/>
          <w:sz w:val="18"/>
          <w:szCs w:val="18"/>
          <w:color w:val="auto"/>
        </w:rPr>
      </w:pPr>
    </w:p>
    <w:p>
      <w:pPr>
        <w:ind w:left="660" w:right="220" w:hanging="328"/>
        <w:spacing w:after="0" w:line="22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(rimabotulinumtoxinB injection) is a product indicated for the treatment of cervical dystonia and chronic sialorrhea in adults. It is the only botulinum toxin type B available on the market.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Candidates</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developing a pipeline of novel CNS product candidates for the treatment of various CNS conditions. The Company's product candidates in clinical development include the following:</w:t>
      </w:r>
    </w:p>
    <w:p>
      <w:pPr>
        <w:spacing w:after="0" w:line="121" w:lineRule="exact"/>
        <w:rPr>
          <w:sz w:val="20"/>
          <w:szCs w:val="20"/>
          <w:color w:val="auto"/>
        </w:rPr>
      </w:pPr>
    </w:p>
    <w:p>
      <w:pPr>
        <w:ind w:left="660" w:right="400" w:hanging="328"/>
        <w:spacing w:after="0" w:line="217" w:lineRule="auto"/>
        <w:tabs>
          <w:tab w:leader="none" w:pos="655" w:val="left"/>
        </w:tabs>
        <w:numPr>
          <w:ilvl w:val="0"/>
          <w:numId w:val="6"/>
        </w:numPr>
        <w:rPr>
          <w:rFonts w:ascii="Times New Roman" w:cs="Times New Roman" w:eastAsia="Times New Roman" w:hAnsi="Times New Roman"/>
          <w:sz w:val="28"/>
          <w:szCs w:val="28"/>
          <w:b w:val="1"/>
          <w:bCs w:val="1"/>
          <w:i w:val="1"/>
          <w:iCs w:val="1"/>
          <w:color w:val="auto"/>
          <w:vertAlign w:val="superscript"/>
        </w:rPr>
      </w:pPr>
      <w:r>
        <w:rPr>
          <w:rFonts w:ascii="Times New Roman" w:cs="Times New Roman" w:eastAsia="Times New Roman" w:hAnsi="Times New Roman"/>
          <w:sz w:val="18"/>
          <w:szCs w:val="18"/>
          <w:color w:val="auto"/>
        </w:rPr>
        <w:t xml:space="preserve">SPN-830 (apomorphine infusion device) is a late-stage drug/device combination product candidate for the continuous treatment of motor fluctuations ("off" episodes) in PD patients that are not adequately controlled with oral levodopa and one or more adjunct PD medications. In October 2022, the FDA issued a Complete Response Letter (CRL) regarding the NDA for SPN-830.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28"/>
          <w:szCs w:val="28"/>
          <w:b w:val="1"/>
          <w:bCs w:val="1"/>
          <w:i w:val="1"/>
          <w:iCs w:val="1"/>
          <w:color w:val="auto"/>
          <w:vertAlign w:val="superscript"/>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SPN-820 (NV-5138) is a first-in-class product candidate for treatment-resistant depression, currently in Phase II development. It is an orally active small molecule that directly activates brain mechanistic target of rapamycin complex 1 (mTORC1).</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SPN-817 (huperzine A) is a novel product candidate for treatment-resistant seizures, currently in Phase I development.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Adamas Acquisition and Reorganization</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October 10, 2021, the Company entered into an Agreement and Plan of Merger by and among the Company, Adamas Pharmaceuticals, Inc. (Adamas) and Supernus Reef, Inc., a Delaware corporation and a wholly owned subsidiary of the Company (Purchaser) (Adamas Agreement). On November 24, 2021 (the Closing Date), the Company completed its purchase of all of the outstanding equity of Adamas, pursuant to the Adamas Agreement dated October 10, 2021, and the Purchaser was merged with and into Adamas (the Merger), with Adamas continuing as the surviving corporation in the Merger as a wholly owned subsidiary of the Company (Adamas Acquisition). On the Closing Date, Adamas owned two marketed products: GOCOVRI (amantadine) extended-release capsules, the first and only FDA approved medicine indicated for the treatment of both "off" episodes and dyskinesia in patients with PD receiving levodopa-based therapy and as an adjunctive treatment to levodopa/carbidopa in patients with PD experiencing "off" episodes; and Osmolex ER (amantadine) extended-release tablets, approved for the treatment of PD and drug-induced extrapyramidal reactions in adult patients. Adamas also owns the right to receive royalties from Allergan plc for sales of Namzaric (memantine hydrochloride extended-release and donepezil hydrochloride) in the U.S.</w:t>
      </w:r>
    </w:p>
    <w:p>
      <w:pPr>
        <w:spacing w:after="0" w:line="14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In the first quarter of 2022 and subsequent to the Adamas Acquisition, the Company completed a reorganization of the Adamas legal entities in an effort to obtain operational, legal and other benefits that also resulted in certain state tax efficiencies. The reorganization had no effect on the condensed consolidated financial statements other than certain state tax efficiencies. (See Note 12, </w:t>
      </w:r>
      <w:r>
        <w:rPr>
          <w:rFonts w:ascii="Times New Roman" w:cs="Times New Roman" w:eastAsia="Times New Roman" w:hAnsi="Times New Roman"/>
          <w:sz w:val="18"/>
          <w:szCs w:val="18"/>
          <w:i w:val="1"/>
          <w:iCs w:val="1"/>
          <w:color w:val="auto"/>
        </w:rPr>
        <w:t>Income Tax (Benefit) Expense</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Impact</w:t>
      </w:r>
    </w:p>
    <w:p>
      <w:pPr>
        <w:spacing w:after="0" w:line="20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closely monitoring the impact of the COVID-19 pandemic on all aspects of its business operations and has assessed the impact of the COVID-19 pandemic on its condensed consolidated financial statements as of September 30, 2022.</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Since the situation surrounding the COVID-19 pandemic remains fluid and the duration uncertain, the long-term nature and extent of the impacts of the pandemic on the Company's business operations and financial position cannot be reasonably estimated at this time.</w:t>
      </w:r>
    </w:p>
    <w:p>
      <w:pPr>
        <w:spacing w:after="0" w:line="117" w:lineRule="exact"/>
        <w:rPr>
          <w:sz w:val="20"/>
          <w:szCs w:val="20"/>
          <w:color w:val="auto"/>
        </w:rPr>
      </w:pPr>
    </w:p>
    <w:p>
      <w:pPr>
        <w:ind w:right="7540" w:firstLine="8"/>
        <w:spacing w:after="0" w:line="464" w:lineRule="auto"/>
        <w:tabs>
          <w:tab w:leader="none" w:pos="31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condensed consolidated financial statements should be read in conjunction with the Company’s most recent Annual Report on Form 10-K, for the year ended December 31, 2021, filed with the SEC.</w:t>
      </w:r>
    </w:p>
    <w:p>
      <w:pPr>
        <w:spacing w:after="0" w:line="14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which is primarily located in the U.S., operates in one operating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Supernus Pharmaceuticals, Inc. and its wholly owned subsidiaries. These are collectively referred to herein as "Supernus" or "the Company." All significant intercompany transactions and balances have been eliminated in consolidation.</w:t>
      </w:r>
    </w:p>
    <w:p>
      <w:pPr>
        <w:spacing w:after="0" w:line="1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liquidate the entity, if applicable. If the Company is not the primary beneficiary of the VIE, and an ownership interest is maintained in the entity, the interest is accounted for under the equity or cost methods of accounting, as appropriate.</w:t>
      </w:r>
    </w:p>
    <w:p>
      <w:pPr>
        <w:spacing w:after="0" w:line="13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continuously assesses whether it is the primary beneficiary of a VIE as changes to existing relationships or future transactions may affect its conclusions.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14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extent to which the COVID-19 pandemic may directly or indirectly impact our business, financial condition and results of operations is highly uncertain and subject to change. As a result, certain of our estimates and assumptions, including the provision for sales deductions, the fair values of financial instruments and the recoverability of intangible assets, require increased judgment and carry a higher degree of variability and volatility that could result in material changes to our estimates in future periods.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18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Advertising expense includes the cost of promotional materials and activities, such as television, print media, digital marketing, marketing programs and speaker programs. The cost of the Company's advertising efforts are expensed as incurred.</w:t>
      </w:r>
    </w:p>
    <w:p>
      <w:pPr>
        <w:spacing w:after="0" w:line="13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approximately $52.0 million and $112.8 million in advertising expense for the three and nine months ended September 30, 2022, respectively, and approximately $22.6 million and $59.7 million for the three and nine months ended September 30, 2021, respectively. These expenses are recorded as a component of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condensed consolidated statements of earnings.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Accounting Standards Update (ASU) 2020-06, </w:t>
      </w:r>
      <w:r>
        <w:rPr>
          <w:rFonts w:ascii="Times New Roman" w:cs="Times New Roman" w:eastAsia="Times New Roman" w:hAnsi="Times New Roman"/>
          <w:sz w:val="18"/>
          <w:szCs w:val="18"/>
          <w:i w:val="1"/>
          <w:iCs w:val="1"/>
          <w:color w:val="auto"/>
        </w:rPr>
        <w:t>Debt - Debt with Conversion and Other Options (Subtopic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Accounting for Convertible Instruments and Contracts in an Entity's Own Equity </w:t>
      </w:r>
      <w:r>
        <w:rPr>
          <w:rFonts w:ascii="Times New Roman" w:cs="Times New Roman" w:eastAsia="Times New Roman" w:hAnsi="Times New Roman"/>
          <w:sz w:val="18"/>
          <w:szCs w:val="18"/>
          <w:color w:val="auto"/>
        </w:rPr>
        <w:t>- The new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in August 2020, simplifies the accounting for certain financial instruments with characteristics of liabilities and equity, including convertible debt instruments with cash conversion and beneficial conversion features. ASU 2020-06 eliminates requirements to separately account for liability and equity components of such convertible debt instruments and eliminates the ability to use the treasury stock method for calculating diluted earnings per share for convertible instruments whose principal amount may be settled in whole or in part with equity. Instead, ASU 2020-06 requires (i) the entire amount of the security to be presented as a liability on the balance sheet and (ii) application of the “if-converted” method for calculating diluted earnings per share. This new standard also removes certain settlement conditions required for equity contracts to qualify for the derivative scope exception.</w:t>
      </w:r>
    </w:p>
    <w:p>
      <w:pPr>
        <w:spacing w:after="0" w:line="14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adopted the new guidance as of January 1, 2022 using the modified retrospective method of transition which allows for a cumulative-effect adjustment to the opening balance of retained earnings in the period of adoption. As a result, the cumulative effect of the accounting change increased the carrying amount of the convertible notes, net by $20.6 million, increased retained earnings by $40.6 million, reduced additional paid-in capital by $56.2 million, and decreased deferred tax liabilities by $5.0 million as of January 1, 2022. In addition, the Company had an increase of</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6.8 million in dilutive shares included in diluted weighted average shares of common stock outstanding for the purposes of calculating diluted earnings per share under the if-converted method.</w:t>
      </w:r>
    </w:p>
    <w:p>
      <w:pPr>
        <w:spacing w:after="0" w:line="13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ASU 2021-10, </w:t>
      </w:r>
      <w:r>
        <w:rPr>
          <w:rFonts w:ascii="Times New Roman" w:cs="Times New Roman" w:eastAsia="Times New Roman" w:hAnsi="Times New Roman"/>
          <w:sz w:val="18"/>
          <w:szCs w:val="18"/>
          <w:i w:val="1"/>
          <w:iCs w:val="1"/>
          <w:color w:val="auto"/>
        </w:rPr>
        <w:t>Government Assistance (Topic 832)</w:t>
      </w:r>
      <w:r>
        <w:rPr>
          <w:rFonts w:ascii="Times New Roman" w:cs="Times New Roman" w:eastAsia="Times New Roman" w:hAnsi="Times New Roman"/>
          <w:sz w:val="18"/>
          <w:szCs w:val="18"/>
          <w:color w:val="auto"/>
        </w:rPr>
        <w:t xml:space="preserve"> - The new standard, issued in November 2021, requires the disclosure of information about transactions with a government that are accounted for by applying a grant or contribution model by analogy. This could include various forms of government assistance, but excludes transactions in the scope of specific U.S. GAAP, such as tax incentives accounted for under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transactions in the scope of the new standard, information about the nature of the transaction, including significant terms and conditions, as well as the amounts and specific financial statement line items affected by the transaction are required to be disclosed. This guidance is effective for fiscal years beginning after December 15, 2021 on a prospective basis. The adoption of the new standard as of January 1, 2022 did not have a material impact to the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Adamas Acquisition</w:t>
      </w:r>
    </w:p>
    <w:p>
      <w:pPr>
        <w:spacing w:after="0" w:line="187"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17"/>
          <w:szCs w:val="17"/>
          <w:color w:val="auto"/>
        </w:rPr>
        <w:t>In connection with the Adamas Acquisition (see Note 1), the Company paid the Adamas shareholders $400.8 million and transferred two non-tradable contingent value rights (CVRs). 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w:t>
      </w:r>
    </w:p>
    <w:p>
      <w:pPr>
        <w:spacing w:after="0" w:line="1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two CVRs, the Company recorded contingent consideration liabilities of $10.3 million as of the date of the acquisition, to reflect the estimated fair value of the contingent consideration. The estimated fair values of the contingent consideration liabilities were determined using Monte Carlo simulations. The fair value measurements of the contingent consideration liabilities were determined based on significant unobservable inputs and thus represent Level 3 fair value measurements. The key assumptions considered include the estimated amount and timing of projected revenues, volatility, estimated discount rates and the risk-free interest rate. In each reporting period after the acquisition, the Company will revalue the contingent consideration liabilities and will record increases or decreases in the fair value of the liabilities in its consolidated statements of earnings. Changes in fair value will result from actual milestone achievement, as well as changes to forecasts. The inputs and assumptions may not be observable in the market, but they reflect the assumptions the Company believes would be made by a market participant. The possible outcomes for the contingent consideration range from $0 to $50.9 million on an undiscounted basis.</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acquisition was accounted for as a business combination under the acquisition method of accounting, in accordance with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excess of the purchase price over the fair value of the net assets acquired was recorded as goodwill. The estimated fair values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and liabilities assumed, including goodwill, have been included in the Company's consolidated financial statements since the acquisition Closing Date.</w:t>
      </w:r>
    </w:p>
    <w:p>
      <w:pPr>
        <w:spacing w:after="0" w:line="14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expects to finalize its purchase price allocation within one year of the Closing Date. In addition, the Company continues to analyze and assess relevant information necessary to determine, recognize and record at fair value the assets acquired and liabilities assumed. The activities the Company is currently undertaking include review and evaluation of the tax positions, and other tax-related matters. Accordingly, the preliminary recognition and measurement of assets acquired and liabilities assumed as of the Closing Date are subject to change.</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preliminary estimates of the fair value of assets acquired and liabilities assumed as of the Closing Date and subsequent measurement period adjustments recorded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 Initially Reported</w:t>
            </w:r>
          </w:p>
        </w:tc>
        <w:tc>
          <w:tcPr>
            <w:tcW w:w="180" w:type="dxa"/>
            <w:vAlign w:val="bottom"/>
          </w:tcPr>
          <w:p>
            <w:pPr>
              <w:spacing w:after="0"/>
              <w:rPr>
                <w:sz w:val="13"/>
                <w:szCs w:val="13"/>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320" w:type="dxa"/>
            <w:vAlign w:val="bottom"/>
          </w:tcPr>
          <w:p>
            <w:pPr>
              <w:spacing w:after="0"/>
              <w:rPr>
                <w:sz w:val="13"/>
                <w:szCs w:val="13"/>
                <w:color w:val="auto"/>
              </w:rPr>
            </w:pPr>
          </w:p>
        </w:tc>
        <w:tc>
          <w:tcPr>
            <w:tcW w:w="15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9"/>
                <w:szCs w:val="9"/>
                <w:b w:val="1"/>
                <w:bCs w:val="1"/>
                <w:color w:val="auto"/>
              </w:rPr>
              <w:t>(1)</w:t>
            </w:r>
          </w:p>
        </w:tc>
        <w:tc>
          <w:tcPr>
            <w:tcW w:w="3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90,064</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450,100</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fair value of assets acquired</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582,673</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(138,315)</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Deferred income tax liabilities</w:t>
            </w:r>
            <w:r>
              <w:rPr>
                <w:rFonts w:ascii="Times New Roman" w:cs="Times New Roman" w:eastAsia="Times New Roman" w:hAnsi="Times New Roman"/>
                <w:sz w:val="23"/>
                <w:szCs w:val="23"/>
                <w:color w:val="auto"/>
                <w:vertAlign w:val="superscript"/>
              </w:rPr>
              <w:t>(2)(3)</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(54,835)</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fair value of liabilities assumed</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(210,980)</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371,693</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411,113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paid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400,806</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411,113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8" w:lineRule="exact"/>
        <w:rPr>
          <w:sz w:val="20"/>
          <w:szCs w:val="20"/>
          <w:color w:val="auto"/>
        </w:rPr>
      </w:pPr>
    </w:p>
    <w:p>
      <w:pPr>
        <w:ind w:left="260" w:right="140" w:hanging="252"/>
        <w:spacing w:after="0" w:line="216" w:lineRule="auto"/>
        <w:tabs>
          <w:tab w:leader="none" w:pos="19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Measurement period adjustments reflect changes for the nine months ended September 30, 2022 based on information related to the facts and circumstances that existed as of the Closing Date.</w:t>
      </w:r>
    </w:p>
    <w:p>
      <w:pPr>
        <w:spacing w:after="0" w:line="1" w:lineRule="exact"/>
        <w:rPr>
          <w:rFonts w:ascii="Times New Roman" w:cs="Times New Roman" w:eastAsia="Times New Roman" w:hAnsi="Times New Roman"/>
          <w:sz w:val="23"/>
          <w:szCs w:val="23"/>
          <w:color w:val="auto"/>
          <w:vertAlign w:val="superscript"/>
        </w:rPr>
      </w:pPr>
    </w:p>
    <w:p>
      <w:pPr>
        <w:ind w:left="260" w:right="280" w:hanging="252"/>
        <w:spacing w:after="0" w:line="204" w:lineRule="auto"/>
        <w:tabs>
          <w:tab w:leader="none" w:pos="19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Refinement of the estimate of fair value of the right of use asset associated with the acquired Adamas headquarters lease recorded in the first quarter of 2022. Refer to Note 13,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p>
      <w:pPr>
        <w:ind w:left="260" w:right="420" w:hanging="252"/>
        <w:spacing w:after="0" w:line="209" w:lineRule="auto"/>
        <w:tabs>
          <w:tab w:leader="none" w:pos="19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Represents tax impact for the changes in fair value estimate of the right of use asset and changes made to finalize the accounting of certain state tax attributes which existed at the opening balance sheet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Inventory</w:t>
      </w:r>
    </w:p>
    <w:p>
      <w:pPr>
        <w:spacing w:after="0" w:line="18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the inventory was determined using the comparative sales method, which estimated the expected sales price of the product, reduced by all costs expected to be incurred to complete or dispose of the inventory, as well as a profit on the sale.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 Assets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acquired intangible assets include the acquired developed technology and product rights to GOCOVRI and Osmolex ER, as well as the right to receive royalties from Allergan plc for sales of Namzaric. The Company determined the estimated fair values for the acquired intangible assets as of the Closing Date using the income approach. This is a valuation technique that provides an estimate of fair value of the assets, based on the market participant's expectations of the cash flows that the assets are forecasted to generate. The cash flows were discounted at a rate commensurate with the level of risk associated with its projected cash flows. The Company believes the assumptions are representative of those a market participant would use in estimating fair value.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fair value measurements of the acquired intangible assets were determined based on significant unobservable inputs and thus represent Level 3 fair value measurement. Some of the more significant inputs and assumptions used in the intangible assets valuation includes: the estimated future cash flows from product sales, the timing and projection of costs and expenses, discount rates and tax rates.</w:t>
      </w:r>
    </w:p>
    <w:p>
      <w:pPr>
        <w:spacing w:after="0" w:line="14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Acquired intangible assets consist of developed technology and product rights and are amortized over their estimated useful lives on a straight-line basis. The following table summarizes the preliminary purchase price allocation and the average remaining useful lives for identifiable intangible assets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2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as of Closing Date (in</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technology and product rights</w:t>
            </w:r>
          </w:p>
        </w:tc>
        <w:tc>
          <w:tcPr>
            <w:tcW w:w="2280" w:type="dxa"/>
            <w:vAlign w:val="bottom"/>
            <w:shd w:val="clear" w:color="auto" w:fill="CCEEFF"/>
          </w:tcPr>
          <w:p>
            <w:pPr>
              <w:jc w:val="right"/>
              <w:ind w:right="20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450,100</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3.1 - 8.1</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was calculated as the excess of the consideration transferred over the net assets recognized and represents the future economic benefits arising from the other assets acquired that could not be individually identified and separately recognized. Goodwill is primarily attributable to the anticipated cost synergies, additional growth platforms, and an expanded revenue base with the addition of the assets from the Adamas Acquisition. The goodwill is not expected to be deductible for tax purposes.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Deferred Income Tax Liabilities, net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deferred income tax liabilities, net relates to the difference between the financial statement carrying amount and the tax basis of acquired intangible assets and inventory, partially offset by acquired net operating loss carryforwards and other temporary differences. The acquired federal and state net operating loss carryforwards are reduced by a valuation allowance for amounts that are not expected to be realizable in the future. The reported measurement period adjustment of $1.8 million for the nine months ended September 30, 2022 consisted of a reduction to deferred tax liabilities of $3.7 million recorded in the first quarter of 2022 and an increase to deferred tax liabilities of $1.9 million recorded in the third quarter of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Net Earnings of Adamas</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operations of Adamas and its subsidiaries have been included in the Company's consolidated statements of earnings for the periods subsequent to the Closing 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unaudited pro forma combined financial information for each of the periods presented, as if the Adamas Acquisition had occurred on January 1, 2020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86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7"/>
                <w:szCs w:val="17"/>
                <w:color w:val="auto"/>
              </w:rPr>
            </w:pPr>
          </w:p>
        </w:tc>
        <w:tc>
          <w:tcPr>
            <w:tcW w:w="186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8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174,360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487,904</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260" w:type="dxa"/>
            <w:vAlign w:val="bottom"/>
          </w:tcPr>
          <w:p>
            <w:pPr>
              <w:spacing w:after="0"/>
              <w:rPr>
                <w:sz w:val="20"/>
                <w:szCs w:val="20"/>
                <w:color w:val="auto"/>
              </w:rPr>
            </w:pPr>
          </w:p>
        </w:tc>
        <w:tc>
          <w:tcPr>
            <w:tcW w:w="18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(10,405)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(30,905)</w:t>
            </w:r>
          </w:p>
        </w:tc>
      </w:tr>
    </w:tbl>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financial information is based on historical financial information and the Company's preliminary allocation of purchase price; therefore, it is subject to subsequent adjustment upon finalization of the purchase price allocation. In order to reflect the occurrence of the acquisition on January 1, 2020, the unaudited pro forma combined financial information reflects the recognition of additional amortization expense on intangible assets and estimated additional cost of products sold related to the inventory step-up adjustment; the estimated reduction in the Company's interest income generated from marketable securities that were liquidated to fund the purchase price of the Adamas Acquisition, and the estimated tax impact of the pro forma adjustments.</w:t>
      </w:r>
    </w:p>
    <w:p>
      <w:pPr>
        <w:spacing w:after="0" w:line="1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should not necessarily be considered indicative of the results that would have occurred if the acquisition had been consummated on the assumed completion date, nor are they indicative of future results.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Disaggregated Revenues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disaggregation of revenues by product or source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4"/>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Trokendi XR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69,599</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204,033</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231,531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Oxtellar XR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82,120</w:t>
            </w: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GOCOVRI</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APOKYN</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73,338</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172,724</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145,532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485,647</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412,541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177,353</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499,910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420,725</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163"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Trokendi XR accounted for more than 40% of the Company’s total net product sales for both the three and nine months ended September 30, 2022, and 56% of the Company's total net product sales for both the three and nine months ended September 30, 2021, respectively.</w:t>
      </w:r>
    </w:p>
    <w:p>
      <w:pPr>
        <w:spacing w:after="0" w:line="12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Each of our three major customers, AmerisourceBergen Drug Corporation, Cardinal Health, Inc. and McKesson Corporation, individually accounted for more than 25% of our total net product sales for both the nine months ended September 30, 2022 and 2021, and collectively accounted for more than 80% and 85% of our total net product sales for the nine months ended September 30, 2022 and 2021, respectively.</w:t>
      </w:r>
    </w:p>
    <w:p>
      <w:pPr>
        <w:spacing w:after="0" w:line="14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Royalty revenues include noncash royalty revenues. The Company recognized noncash royalty revenue of $2.5 million and $7.2 million, for the three and nine months ended September 30, 2022, respectively. The Company recognized noncash royalty revenue of $2.4 million and $6.8 million, for the three and nine months ended September 30, 2021, respectively. Refer to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Unrestricted available-for-sale marketable securities held by the Company are as follows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U.S. government agency and municipal debt securities</w:t>
            </w:r>
          </w:p>
        </w:tc>
        <w:tc>
          <w:tcPr>
            <w:tcW w:w="2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Amortized cost</w:t>
            </w:r>
          </w:p>
        </w:tc>
        <w:tc>
          <w:tcPr>
            <w:tcW w:w="2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417,576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253,301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unrealized gains</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Gross unrealized losses</w:t>
            </w:r>
          </w:p>
        </w:tc>
        <w:tc>
          <w:tcPr>
            <w:tcW w:w="2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2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2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the unrestricted available-for-sale marketable securities held by the Company are as follows, (dollars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9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9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(unaudited)</w:t>
            </w:r>
          </w:p>
        </w:tc>
      </w:tr>
      <w:tr>
        <w:trPr>
          <w:trHeight w:val="236"/>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1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280,297</w:t>
            </w: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year to 2 years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104,346</w:t>
            </w:r>
          </w:p>
        </w:tc>
      </w:t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 to 3 years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27,591</w:t>
            </w:r>
          </w:p>
        </w:tc>
      </w:tr>
      <w:tr>
        <w:trPr>
          <w:trHeight w:val="229"/>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years to 4 years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4 years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412,234</w:t>
            </w:r>
          </w:p>
        </w:tc>
      </w:tr>
      <w:tr>
        <w:trPr>
          <w:trHeight w:val="21"/>
        </w:trPr>
        <w:tc>
          <w:tcPr>
            <w:tcW w:w="9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120" w:firstLine="648"/>
        <w:spacing w:after="0" w:line="460" w:lineRule="auto"/>
        <w:rPr>
          <w:sz w:val="20"/>
          <w:szCs w:val="20"/>
          <w:color w:val="auto"/>
        </w:rPr>
      </w:pPr>
      <w:r>
        <w:rPr>
          <w:rFonts w:ascii="Times New Roman" w:cs="Times New Roman" w:eastAsia="Times New Roman" w:hAnsi="Times New Roman"/>
          <w:sz w:val="18"/>
          <w:szCs w:val="18"/>
          <w:color w:val="auto"/>
        </w:rPr>
        <w:t xml:space="preserve">As of September 30, 2022, there was no impairment due to credit loss on any available-for-sale marketable securities. </w:t>
      </w:r>
      <w:r>
        <w:rPr>
          <w:rFonts w:ascii="Times New Roman" w:cs="Times New Roman" w:eastAsia="Times New Roman" w:hAnsi="Times New Roman"/>
          <w:sz w:val="18"/>
          <w:szCs w:val="18"/>
          <w:i w:val="1"/>
          <w:iCs w:val="1"/>
          <w:color w:val="auto"/>
        </w:rPr>
        <w:t>Investment in Navitor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Agreement</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April 2020, the Company entered into a development agreement (the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will bear all of the Phase I and Phase II development costs incurred by either party, up to a maximum of $50 million. In addition, the Company will incur certain other research and development support costs. There are certain additional payment amounts which could be incurred by the Company. These costs are contingent upon Navitor Inc. achieving defined development milestones. The Company has an option to acquire or license NV-5138 (SPN-820), for which additional payments would be required.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w:t>
      </w:r>
    </w:p>
    <w:p>
      <w:pPr>
        <w:spacing w:after="0" w:line="18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addition to entering into the Development Agreement in April 2020, the Company acquired Series D Preferred Shares of Navitor Inc. for $15 million, representing an approximately 13% ownership position in Navitor Inc.</w:t>
      </w:r>
    </w:p>
    <w:p>
      <w:pPr>
        <w:spacing w:after="0" w:line="121"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In March 2021, Navitor Inc. underwent a legal restructuring. In the restructuring, Navitor Inc. became a wholly owned subsidiary of a newly formed limited liability company, Navitor Pharmaceuticals LLC (Navitor LLC), and the outstanding shares of stock in Navitor Inc. were exchanged for units of membership in Navitor LLC having equivalent rights and preferences (Navitor Restructuring). As part of the Navitor Restructuring, the Series D Preferred Shares previously held by the Company were exchanged for Series D Preferred Units in Navitor LLC. In addition, certain assets that did not relate to NV-5138 (SPN-820) were transferred from Navitor Inc. to a newly formed entity that became a separate, wholly owned subsidiary of Navitor LLC.</w:t>
      </w:r>
    </w:p>
    <w:p>
      <w:pPr>
        <w:spacing w:after="0" w:line="16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had determined that Navitor LLC is a VIE. The Company does not consolidate this VIE because the Company lacks the power to direct the activities that most significantly impact Navitor’s economic performance.</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Prior to the Navitor Restructuring, the investment was accounted for under the practical expedient allowed for equity securities without readily determinable fair value, which is cost minus impairment plus any changes in observable price changes from an orderly transaction of similar investments in Navitor Inc. Following the legal restructuring and exchange of the preferred shares for member equity units of Navitor LLC, the investment was accounted for under the equity method of accounting due to the Company's ability to exert significant influence over but not control the financial and operating decisions of Navitor LLC. As a result of the change from a cost method investment to an equity method investment, the Company was required to measure its investment initially in accordance with the guidance in ASC 805. The majority of the assets and liabilities recorded in Navitor LLC's financial statements represent working capital items and cash that are being used for research and development purposes and are significantly lower than the Company's investment in Navitor LLC, which created a significant basis difference for the Company's investment in the underlying net assets. The Company determined that substantially all of the fair value of the investment was attributable to a single in-process research and development (IPR&amp;D) asset. As a result, Navitor LLC was not considered a business as defined in ASC 805. In the first quarter of 2021, the $15 million investment, which was previously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condensed consolidated balance sheets, was expensed and recorded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in the condensed consolidated statements of earnings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The Company records its share of the results of Navitor LLC, a private company, on a quarter lag as the financial information of Navitor LLC is not available on a sufficiently timely basis for the Company to apply the equity method of accounting. In December 2021, Navitor LLC sold one of its subsidiaries and distributed cash to its members in accordance with each member's share of the proceeds from the sale. The Company received</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$12.9 million in December 2021 from Navitor LLC in connection with this sale. As the Company's policy is to record its share of the results in its equity method investment on a quarter lag as previously indicated, the Company recorded the cash amount received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consolidated balance sheets as of December 31, 2021. In the first quarter of 2022, the Company determined its estimated share of Navitor LLC's year-end 2021 earnings and recorded a gain of $12.9 million in </w:t>
      </w:r>
      <w:r>
        <w:rPr>
          <w:rFonts w:ascii="Times New Roman" w:cs="Times New Roman" w:eastAsia="Times New Roman" w:hAnsi="Times New Roman"/>
          <w:sz w:val="18"/>
          <w:szCs w:val="18"/>
          <w:i w:val="1"/>
          <w:iCs w:val="1"/>
          <w:color w:val="auto"/>
        </w:rPr>
        <w:t>Interest and other income, net</w:t>
      </w:r>
      <w:r>
        <w:rPr>
          <w:rFonts w:ascii="Times New Roman" w:cs="Times New Roman" w:eastAsia="Times New Roman" w:hAnsi="Times New Roman"/>
          <w:sz w:val="18"/>
          <w:szCs w:val="18"/>
          <w:color w:val="auto"/>
        </w:rPr>
        <w:t xml:space="preserve"> in the condensed consolidated statement of earnings.</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maximum exposure to losses related to Navitor LLC is approximately $50 million for Phase I and Phase II development of NV-5138 (SPN-820), and the cost of other development and formulation activities provided by the Company.</w:t>
      </w:r>
    </w:p>
    <w:p>
      <w:pPr>
        <w:spacing w:after="0" w:line="1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Subsequent to the Development Agreement entered into in 2020, no additional equity investment has been made or financing has been provided to Navitor LLC.</w:t>
      </w:r>
    </w:p>
    <w:p>
      <w:pPr>
        <w:spacing w:after="0" w:line="1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8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an asset or liability represents the price that would be received to sell an asset or paid to transfer a liability in an orderly transaction between unrelated market participants.</w:t>
      </w:r>
    </w:p>
    <w:p>
      <w:pPr>
        <w:spacing w:after="0" w:line="13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the fair value of assets and liabilities using a three level measurement hierarchy that prioritizes the inputs used to measure fair value. The fair value hierarchy consists of the following three levels:</w:t>
      </w:r>
    </w:p>
    <w:p>
      <w:pPr>
        <w:spacing w:after="0" w:line="12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Level 1—Valuations based on unadjusted quoted prices in active markets that are accessible at measurement date for identical assets.</w:t>
      </w:r>
    </w:p>
    <w:p>
      <w:pPr>
        <w:spacing w:after="0" w:line="183" w:lineRule="exact"/>
        <w:rPr>
          <w:rFonts w:ascii="Arial" w:cs="Arial" w:eastAsia="Arial" w:hAnsi="Arial"/>
          <w:sz w:val="18"/>
          <w:szCs w:val="18"/>
          <w:color w:val="auto"/>
        </w:rPr>
      </w:pPr>
    </w:p>
    <w:p>
      <w:pPr>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135" w:lineRule="exact"/>
        <w:rPr>
          <w:rFonts w:ascii="Times New Roman" w:cs="Times New Roman" w:eastAsia="Times New Roman" w:hAnsi="Times New Roman"/>
          <w:sz w:val="18"/>
          <w:szCs w:val="18"/>
          <w:color w:val="auto"/>
        </w:rPr>
      </w:pPr>
    </w:p>
    <w:p>
      <w:pPr>
        <w:ind w:left="980" w:right="360" w:hanging="324"/>
        <w:spacing w:after="0" w:line="281" w:lineRule="auto"/>
        <w:tabs>
          <w:tab w:leader="none" w:pos="97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Level 3—Valuations using significant inputs that are unobservable in the market and inputs that reflect the Company’s own assumptions. These are based on the best information available, including the Company’s own data.</w:t>
      </w:r>
    </w:p>
    <w:p>
      <w:pPr>
        <w:spacing w:after="0" w:line="133" w:lineRule="exact"/>
        <w:rPr>
          <w:sz w:val="20"/>
          <w:szCs w:val="20"/>
          <w:color w:val="auto"/>
        </w:rPr>
      </w:pPr>
    </w:p>
    <w:p>
      <w:pPr>
        <w:ind w:left="340" w:right="5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fair value of the restricted marketable securities which are classified as Level 2 financial assets are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the condensed consolidated balance sheets. There have been no transfers of assets or liabilities into or out of Level 3 of the fair value hierarchy.</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Assets and Liabilities Recorded at Fair Value on a Recurring Basis</w:t>
      </w:r>
    </w:p>
    <w:p>
      <w:pPr>
        <w:spacing w:after="0" w:line="198" w:lineRule="exact"/>
        <w:rPr>
          <w:sz w:val="20"/>
          <w:szCs w:val="20"/>
          <w:color w:val="auto"/>
        </w:rPr>
      </w:pPr>
    </w:p>
    <w:p>
      <w:pPr>
        <w:ind w:right="580" w:firstLine="810"/>
        <w:spacing w:after="0" w:line="270" w:lineRule="auto"/>
        <w:rPr>
          <w:sz w:val="20"/>
          <w:szCs w:val="20"/>
          <w:color w:val="auto"/>
        </w:rPr>
      </w:pPr>
      <w:r>
        <w:rPr>
          <w:rFonts w:ascii="Times New Roman" w:cs="Times New Roman" w:eastAsia="Times New Roman" w:hAnsi="Times New Roman"/>
          <w:sz w:val="18"/>
          <w:szCs w:val="18"/>
          <w:color w:val="auto"/>
        </w:rPr>
        <w:t>The Company’s financial assets and liabilities that are required to be measured at fair value on a recurring basis are as follows (dollars in thousands):</w:t>
      </w: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20" w:type="dxa"/>
            <w:vAlign w:val="bottom"/>
            <w:gridSpan w:val="9"/>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2022 (unaudited)</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580" w:type="dxa"/>
            <w:vAlign w:val="bottom"/>
            <w:gridSpan w:val="4"/>
            <w:vMerge w:val="restart"/>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Total Fair Value at</w:t>
            </w: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12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0"/>
                <w:szCs w:val="10"/>
                <w:color w:val="auto"/>
              </w:rPr>
            </w:pPr>
          </w:p>
        </w:tc>
        <w:tc>
          <w:tcPr>
            <w:tcW w:w="110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111,087</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and municipal debt securities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and municipal debt securities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57,371</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57,371</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57,371</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9"/>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20" w:type="dxa"/>
            <w:vAlign w:val="bottom"/>
            <w:gridSpan w:val="9"/>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Total Fair Value at</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0"/>
                <w:szCs w:val="10"/>
                <w:color w:val="auto"/>
              </w:rPr>
            </w:pPr>
          </w:p>
        </w:tc>
        <w:tc>
          <w:tcPr>
            <w:tcW w:w="110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148,863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and municipal debt securities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136,246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and municipal debt securities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119,166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459,476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203,692</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80,477</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80,477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18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other financial instruments, including accounts receivable, accounts payable, and accrued expenses, approximate fair value due to their short-term maturities.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Liabilities Recorded at Carrying Value</w:t>
      </w:r>
    </w:p>
    <w:p>
      <w:pPr>
        <w:spacing w:after="0" w:line="18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carrying value and fair value of the Company's financial liabilities that are not carried at fair value (dollars in thousands):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2900" w:type="dxa"/>
            <w:vAlign w:val="bottom"/>
            <w:gridSpan w:val="4"/>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4"/>
        </w:trPr>
        <w:tc>
          <w:tcPr>
            <w:tcW w:w="49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gridSpan w:val="4"/>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r>
      <w:tr>
        <w:trPr>
          <w:trHeight w:val="191"/>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(Level 2)</w:t>
            </w: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Fair Value (Level 2)</w:t>
            </w:r>
          </w:p>
        </w:tc>
      </w:tr>
      <w:tr>
        <w:trPr>
          <w:trHeight w:val="23"/>
        </w:trPr>
        <w:tc>
          <w:tcPr>
            <w:tcW w:w="4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400,236</w:t>
            </w:r>
          </w:p>
        </w:tc>
      </w:tr>
    </w:tbl>
    <w:p>
      <w:pPr>
        <w:spacing w:after="0" w:line="252"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fair value has been estimated based on actual trading information, and quoted prices, both provided by bond traders. As discussed in Note 2, the Company adopted ASU 2020-06 on January 1, 2022 using the modified retrospective method of transition resulting in an increase in the carrying amount of the debt by $20.6 million as of the adoption date.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discussion of the accounting standard adoption.</w:t>
      </w:r>
    </w:p>
    <w:p>
      <w:pPr>
        <w:spacing w:after="0" w:line="1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Contingent Consideration</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Company's contingent consideration liabilities are related to the USWM Acquisition (as defined below) and the Adamas Acquisition. The contingent consideration liabilities are measured at fair value on a recurring basis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Contingent Consideration</w:t>
      </w:r>
    </w:p>
    <w:p>
      <w:pPr>
        <w:spacing w:after="0" w:line="18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On June 9, 2020 (the USWM Closing Date), the Company completed its acquisition of all the outstanding equity of USWM Enterprises, LLC (USWM Enterprises) (USWM Acquisition). The USWM Acquisition included potential additional contingent consideration payments of up to $230 million comprised of the following:</w:t>
      </w:r>
    </w:p>
    <w:p>
      <w:pPr>
        <w:spacing w:after="0" w:line="135" w:lineRule="exact"/>
        <w:rPr>
          <w:sz w:val="20"/>
          <w:szCs w:val="20"/>
          <w:color w:val="auto"/>
        </w:rPr>
      </w:pPr>
    </w:p>
    <w:p>
      <w:pPr>
        <w:ind w:left="660" w:right="2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developmental milestones - gross contingent consideration of up to $130 million contingent upon achievement of regulatory and developmental milestones.</w:t>
      </w:r>
    </w:p>
    <w:p>
      <w:pPr>
        <w:spacing w:after="0" w:line="134" w:lineRule="exact"/>
        <w:rPr>
          <w:rFonts w:ascii="Times New Roman" w:cs="Times New Roman" w:eastAsia="Times New Roman" w:hAnsi="Times New Roman"/>
          <w:sz w:val="18"/>
          <w:szCs w:val="18"/>
          <w:color w:val="auto"/>
        </w:rPr>
      </w:pPr>
    </w:p>
    <w:p>
      <w:pPr>
        <w:ind w:left="6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a $25 million milestone due upon the FDA acceptance of the SPN-830 NDA for review, which was paid in the first quarter of 2022. This milestone payment is reported under both financing and operating activities in the condensed consolidated statements of cash flows. Of the $25 million payment, $22.9 million represents the acquisition date fair value of the contingent consideration liability and was reported under cash flows from financing activities. The remaining $2.1 million represents the excess of the acquisition date fair value and was reported under cash flows from operating activities.</w:t>
      </w:r>
    </w:p>
    <w:p>
      <w:pPr>
        <w:spacing w:after="0" w:line="142" w:lineRule="exact"/>
        <w:rPr>
          <w:rFonts w:ascii="Times New Roman" w:cs="Times New Roman" w:eastAsia="Times New Roman" w:hAnsi="Times New Roman"/>
          <w:sz w:val="18"/>
          <w:szCs w:val="18"/>
          <w:color w:val="auto"/>
        </w:rPr>
      </w:pPr>
    </w:p>
    <w:p>
      <w:pPr>
        <w:ind w:left="66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remaining $105 million is comprised of amounts due upon achievement of certain FDA's regulatory approval and commercial launch of SPN-830. This includes a $50 million milestone which has a time-based mechanism for full or partial payment. As of September 30, 2022, the achievement of this milestone is remote. The remaining $55 million, which does not have a time-based mechanism for payment, relates to the FDA's approval of the SPN-830 NDA and the subsequent commercial product launch. Refer to Note 1, </w:t>
      </w:r>
      <w:r>
        <w:rPr>
          <w:rFonts w:ascii="Times New Roman" w:cs="Times New Roman" w:eastAsia="Times New Roman" w:hAnsi="Times New Roman"/>
          <w:sz w:val="18"/>
          <w:szCs w:val="18"/>
          <w:i w:val="1"/>
          <w:iCs w:val="1"/>
          <w:color w:val="auto"/>
        </w:rPr>
        <w:t>Business Organization</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42"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Sales-based milestones consist of gross contingent consideration payments of up to $100 million related to future sales performance of the acquired USWM products. Of the $100 million sales-based contingent consideration, a $35 million milestone due upon the achievement of certain U.S. net product sales of APOKYN in 2021 was not achieved. The remaining $65 million relates to the achievement of certain net product sales of the acquired USWM products in 2022 and 2023. As of September 30, 2022, the Company assessed that the remaining sales-based milestones will not be achieved based on net sales projections.</w:t>
      </w:r>
    </w:p>
    <w:p>
      <w:pPr>
        <w:spacing w:after="0" w:line="1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change in fair value is reported on the condensed consolidated statement of earnings in </w:t>
      </w:r>
      <w:r>
        <w:rPr>
          <w:rFonts w:ascii="Times New Roman" w:cs="Times New Roman" w:eastAsia="Times New Roman" w:hAnsi="Times New Roman"/>
          <w:sz w:val="18"/>
          <w:szCs w:val="18"/>
          <w:i w:val="1"/>
          <w:iCs w:val="1"/>
          <w:color w:val="auto"/>
        </w:rPr>
        <w:t>Contingent consideration expense (gain)</w:t>
      </w:r>
      <w:r>
        <w:rPr>
          <w:rFonts w:ascii="Times New Roman" w:cs="Times New Roman" w:eastAsia="Times New Roman" w:hAnsi="Times New Roman"/>
          <w:sz w:val="18"/>
          <w:szCs w:val="18"/>
          <w:color w:val="auto"/>
        </w:rPr>
        <w:t>. The key assumptions considered in estimating the fair value include the estimated probability and timing of milestone achievement, such as the probability and timing of obtaining regulatory approval, discount rate, the estimated revenue volatility and the estimated amount and timing of projected revenues from the acquired USWM products.</w:t>
      </w:r>
    </w:p>
    <w:p>
      <w:pPr>
        <w:spacing w:after="0" w:line="14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a $0.4 million expense and a $2.4 million expense due to the change in fair value of the contingent consideration liabilities for the USWM milestones for the three and nine months ended September 30, 2022, respectively. The change in the fair value of contingent consideration for USWM milestones was primarily driven by the increase in estimated fair value of regulatory and developmental milestones due to passage of time and the accretion to the payout amount related to the milestone achieved in the first quarter of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a $0.1 million expense and a $7.7 million gain due to the change in fair value of the contingent consideration liabilities for the USWM milestones for the three and nine months ended September 30, 2021, respectively. In the second quarter of 2021, the Company recorded a change in fair value of $7.7 million, which was primarily due to the write-down of the sales-based contingent consideration. The Company assessed that the sales-based milestones will not be achieved based on the revised net sales projections.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Adamas Contingent Consideration</w:t>
      </w:r>
    </w:p>
    <w:p>
      <w:pPr>
        <w:spacing w:after="0" w:line="18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3,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the Adamas Acquisition included payment of two non-tradable contingent value rights (CVRs) each of which represents the contractual right to receive a contingent payment upon the achievement of the applicable aggregate worldwide net product sales of GOCOVRI.</w:t>
      </w:r>
    </w:p>
    <w:p>
      <w:pPr>
        <w:spacing w:after="0" w:line="13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During the measurement period, changes in the fair value of contingent consideration related to the Adamas Acquisition are recorded against goodwill if such changes are related to facts and circumstances that existed at the acquisition date. In each reporting period after the acquisition, the Company remeasures the fair value of contingent consideration liabilities and records in its consolidated statements of earnings the increases or decreases in the fair value of the liabilities. The Company recorded a $0.1 million expense and a $0.5 million gain due to the change in fair value of the contingent consideration liabilities for the three and nine months ended September 30, 2022, respectively. The change in fair value was reported on the condensed consolidated statement of earnings in </w:t>
      </w:r>
      <w:r>
        <w:rPr>
          <w:rFonts w:ascii="Times New Roman" w:cs="Times New Roman" w:eastAsia="Times New Roman" w:hAnsi="Times New Roman"/>
          <w:sz w:val="18"/>
          <w:szCs w:val="18"/>
          <w:i w:val="1"/>
          <w:iCs w:val="1"/>
          <w:color w:val="auto"/>
        </w:rPr>
        <w:t>Contingent consideration expense (gain)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change in estimated fair value of contingent consideration for the sales-based Adamas milestones was primarily due to changes in market data and the passage of time. The key assumptions considered in estimating the fair value of the Adamas sales-based milestones include the estimated amount and timing of projected revenues, volatility, estimated discount rates and risk-free interest rate. Refer to Note 3,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for further discussion of significant inputs and assumptions used in the valuation of the contingent consideration for the Adamas Acquisition.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related to the contingent consideration liabilities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USWM Acquisition and Adamas Acquisition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USWM Acquisition</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Adamas Acquisition</w:t>
            </w:r>
          </w:p>
        </w:tc>
        <w:tc>
          <w:tcPr>
            <w:tcW w:w="38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80,477</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Milestone payments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 (unaudited)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57,371</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and developmental contingent consideration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47,590</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contingent consideration liabilities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 (unaudited)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57,371</w:t>
            </w: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current and long-term portions related to the contingent consideration for the USWM Acquisition and Adamas Acquisition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under the following captions in the condensed consolidated balance sheets:</w:t>
            </w:r>
          </w:p>
        </w:tc>
        <w:tc>
          <w:tcPr>
            <w:tcW w:w="2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long-term</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35,637</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7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 Net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05"/>
        </w:trPr>
        <w:tc>
          <w:tcPr>
            <w:tcW w:w="8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8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(dollars in thousands):</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117,516</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related to the acquisition of Adamas (see Note 3)</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 (unaudited)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gross carrying amounts and related accumulated amortization of intangibles assets and goodwill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920" w:type="dxa"/>
            <w:vAlign w:val="bottom"/>
          </w:tcPr>
          <w:p>
            <w:pPr>
              <w:spacing w:after="0"/>
              <w:rPr>
                <w:sz w:val="13"/>
                <w:szCs w:val="13"/>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9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 Life</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Net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 Net</w:t>
            </w:r>
          </w:p>
        </w:tc>
        <w:tc>
          <w:tcPr>
            <w:tcW w:w="0" w:type="dxa"/>
            <w:vAlign w:val="bottom"/>
          </w:tcPr>
          <w:p>
            <w:pPr>
              <w:spacing w:after="0"/>
              <w:rPr>
                <w:sz w:val="1"/>
                <w:szCs w:val="1"/>
                <w:color w:val="auto"/>
              </w:rPr>
            </w:pPr>
          </w:p>
        </w:tc>
      </w:tr>
      <w:tr>
        <w:trPr>
          <w:trHeight w:val="169"/>
        </w:trPr>
        <w:tc>
          <w:tcPr>
            <w:tcW w:w="292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Acquired in-process research and</w:t>
            </w: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0" w:type="dxa"/>
            <w:vAlign w:val="bottom"/>
          </w:tcPr>
          <w:p>
            <w:pPr>
              <w:spacing w:after="0"/>
              <w:rPr>
                <w:sz w:val="1"/>
                <w:szCs w:val="1"/>
                <w:color w:val="auto"/>
              </w:rPr>
            </w:pPr>
          </w:p>
        </w:tc>
      </w:tr>
      <w:tr>
        <w:trPr>
          <w:trHeight w:val="184"/>
        </w:trPr>
        <w:tc>
          <w:tcPr>
            <w:tcW w:w="2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Intangible assets subject to</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Acquired developed technology and</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rights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645,550</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784,693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Patent defense costs are deferred legal fees incurred in conjunction with defending patents for Oxtellar XR and Trokendi XR. U.S. patents covering Oxtellar XR and Trokendi XR will expire no earlier than 2027. In regards to Trokendi XR, the Company entered into settlement agreements that allow third parties to enter the market by January 1, 2023, or earlier under certain circumstances.</w:t>
      </w:r>
    </w:p>
    <w:p>
      <w:pPr>
        <w:spacing w:after="0" w:line="14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$20.6 million and $61.9 million for the three and nine months ended September 30, 2022, respectively, and approximately $6.0 million and $18.0 million for the three and nine months ended September 30, 2021, respectively. The increase in expense is primarily due to amortization of the acquired developed technology and product rights from the Adamas Acquisition.</w:t>
      </w:r>
    </w:p>
    <w:p>
      <w:pPr>
        <w:spacing w:after="0" w:line="13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Anticipated annual amortization expense for intangible assets is estimated at $79.8 million each in both 2023 and 2024, $75.1 million in 2025, $74.9 million in 2026, and $73.2 million in 2027.</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Convertible Senior Notes Due 2023</w:t>
      </w:r>
    </w:p>
    <w:p>
      <w:pPr>
        <w:spacing w:after="0" w:line="202"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Company may not redeem the 2023 Notes at its option before maturity. The total principal amount of 2023 Notes is $402.5 million. We have reclassified the debt from long-term to current liabilities on our </w:t>
      </w:r>
      <w:r>
        <w:rPr>
          <w:rFonts w:ascii="Times New Roman" w:cs="Times New Roman" w:eastAsia="Times New Roman" w:hAnsi="Times New Roman"/>
          <w:sz w:val="18"/>
          <w:szCs w:val="18"/>
          <w:i w:val="1"/>
          <w:iCs w:val="1"/>
          <w:color w:val="auto"/>
        </w:rPr>
        <w:t>Condensed Consolidated Balance Sheet</w:t>
      </w:r>
      <w:r>
        <w:rPr>
          <w:rFonts w:ascii="Times New Roman" w:cs="Times New Roman" w:eastAsia="Times New Roman" w:hAnsi="Times New Roman"/>
          <w:sz w:val="18"/>
          <w:szCs w:val="18"/>
          <w:color w:val="auto"/>
        </w:rPr>
        <w:t>, as the debt matures in less than twelve months as of September 30, 2022.</w:t>
      </w:r>
    </w:p>
    <w:p>
      <w:pPr>
        <w:spacing w:after="0" w:line="14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any restrictions on the payment of dividends, the issuance of other indebtedness, or the issuance or repurchase of securities by the Company.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Noteholders may convert their 2023 Notes at their option only in the following circumstances: (1) during any calendar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quarter, if the last reported sale price per share of the Company's common stock for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w:t>
      </w:r>
    </w:p>
    <w:p>
      <w:pPr>
        <w:spacing w:after="0" w:line="16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At its election, the Company will settle conversions by paying or delivering, as applicable, cash, shares of the Company’s common stock, or a combination of cash and shares of the Company’s common stock,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pacing w:after="0" w:line="14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3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16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$80.91 per share of the Company’s common stock, and is subject to adjustment.</w:t>
      </w:r>
    </w:p>
    <w:p>
      <w:pPr>
        <w:spacing w:after="0" w:line="13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w:t>
      </w:r>
    </w:p>
    <w:p>
      <w:pPr>
        <w:spacing w:after="0" w:line="13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liability component of the 2023 Notes consists of the following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402,500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deferred financing costs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(23,248)</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carrying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379,252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Note 2, the Company adopted ASU 2020-06 on January 1, 2022 using the modified retrospective method of transition resulting in an increase in the carrying amount of the debt by $20.6 million as of the adoption date.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discussion of the accounting standard adoption. No 2023 Notes were converted as of September 30, 2022 or December 31,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Share-Based Payments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expense is as follows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3"/>
                <w:szCs w:val="13"/>
                <w:color w:val="auto"/>
              </w:rPr>
            </w:pPr>
          </w:p>
        </w:tc>
      </w:tr>
      <w:tr>
        <w:trPr>
          <w:trHeight w:val="196"/>
        </w:trPr>
        <w:tc>
          <w:tcPr>
            <w:tcW w:w="4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96"/>
        </w:trPr>
        <w:tc>
          <w:tcPr>
            <w:tcW w:w="4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3"/>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7"/>
                <w:szCs w:val="17"/>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and Stock Appreciation Rights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and stock appreciation rights (SAR) activities: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5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6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3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16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150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2"/>
                <w:szCs w:val="12"/>
                <w:color w:val="auto"/>
              </w:rPr>
            </w:pPr>
          </w:p>
        </w:tc>
        <w:tc>
          <w:tcPr>
            <w:tcW w:w="15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8"/>
        </w:trPr>
        <w:tc>
          <w:tcPr>
            <w:tcW w:w="6160" w:type="dxa"/>
            <w:vAlign w:val="bottom"/>
          </w:tcPr>
          <w:p>
            <w:pPr>
              <w:spacing w:after="0"/>
              <w:rPr>
                <w:sz w:val="17"/>
                <w:szCs w:val="17"/>
                <w:color w:val="auto"/>
              </w:rPr>
            </w:pPr>
          </w:p>
        </w:tc>
        <w:tc>
          <w:tcPr>
            <w:tcW w:w="16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Options &amp; SARs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7"/>
                <w:szCs w:val="17"/>
                <w:color w:val="auto"/>
              </w:rPr>
            </w:pPr>
          </w:p>
        </w:tc>
        <w:tc>
          <w:tcPr>
            <w:tcW w:w="15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0" w:type="dxa"/>
            <w:vAlign w:val="bottom"/>
          </w:tcPr>
          <w:p>
            <w:pPr>
              <w:spacing w:after="0"/>
              <w:rPr>
                <w:sz w:val="1"/>
                <w:szCs w:val="1"/>
                <w:color w:val="auto"/>
              </w:rPr>
            </w:pPr>
          </w:p>
        </w:tc>
      </w:tr>
      <w:tr>
        <w:trPr>
          <w:trHeight w:val="228"/>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5,774,076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1,046,785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(673,120)</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(145,473)</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2022 (unaudited)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6,002,268</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5,774,076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3,651,824</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2022 (unaudited):</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6,002,268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3,682,170</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486"/>
        </w:trPr>
        <w:tc>
          <w:tcPr>
            <w:tcW w:w="6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(RSU) activities: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24"/>
                <w:szCs w:val="24"/>
                <w:color w:val="auto"/>
              </w:rPr>
            </w:pPr>
          </w:p>
        </w:tc>
        <w:tc>
          <w:tcPr>
            <w:tcW w:w="15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7"/>
                <w:szCs w:val="17"/>
                <w:color w:val="auto"/>
              </w:rPr>
            </w:pPr>
          </w:p>
        </w:tc>
        <w:tc>
          <w:tcPr>
            <w:tcW w:w="15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2021</w:t>
            </w:r>
          </w:p>
        </w:tc>
        <w:tc>
          <w:tcPr>
            <w:tcW w:w="16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September 30, 2022 (unaudited)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forfeited RSU awards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performance share unit (PSU) activities: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8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Performance-Based Units</w:t>
            </w:r>
          </w:p>
        </w:tc>
        <w:tc>
          <w:tcPr>
            <w:tcW w:w="28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Market-Based Units</w:t>
            </w:r>
          </w:p>
        </w:tc>
        <w:tc>
          <w:tcPr>
            <w:tcW w:w="2720" w:type="dxa"/>
            <w:vAlign w:val="bottom"/>
            <w:gridSpan w:val="4"/>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Total PSUs</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3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164"/>
        </w:trPr>
        <w:tc>
          <w:tcPr>
            <w:tcW w:w="29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Nonvested, September 30, 2022</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Company adopted ASU 2020-06 on January 1, 2022 using the modified retrospective method of transition. ASU 2020-06 requires the application of the if-converted method for calculating diluted earnings per share, whereas the Company previously calculated diluted earnings per share under the treasury stock method. Basic earnings per share (EPS) is calculated using the weighted average number of common shares outstanding. Diluted EPS is calculated using the weighted average number of common shares outstanding, including the dilutive effect of the Company’s stock option grants, SARs, RSUs, employee stock purchase plan (ESPP) awards, and the 2023 Notes, as determined per the if-converted method for the three and nine months ended September 30, 2022 in connection with the adoption of ASU 2020-06 and the treasury stock method for the three and nine months ended September 30,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Convertible Notes and Related Convertible Note Hedges and Warrants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issuance of the 2023 Notes, the Company entered into Convertible Note Hedge and Warrant Transactions as described further in Note 9, </w:t>
      </w:r>
      <w:r>
        <w:rPr>
          <w:rFonts w:ascii="Times New Roman" w:cs="Times New Roman" w:eastAsia="Times New Roman" w:hAnsi="Times New Roman"/>
          <w:sz w:val="18"/>
          <w:szCs w:val="18"/>
          <w:i w:val="1"/>
          <w:iCs w:val="1"/>
          <w:color w:val="auto"/>
        </w:rPr>
        <w:t>Convertible Senior Notes Due 2023</w:t>
      </w:r>
      <w:r>
        <w:rPr>
          <w:rFonts w:ascii="Times New Roman" w:cs="Times New Roman" w:eastAsia="Times New Roman" w:hAnsi="Times New Roman"/>
          <w:sz w:val="18"/>
          <w:szCs w:val="18"/>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$80.91 per share.</w:t>
      </w:r>
    </w:p>
    <w:p>
      <w:pPr>
        <w:spacing w:after="0" w:line="15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Diluted EPS related to the 2023 Notes in the current year is calculated using the if-converted method. The number of dilutive shares is based on the initial conversion rate associated with the 2023 Notes. The Convertible Note Hedge and Warrant Transactions are excluded in the calculation of diluted EPS because inclusion would be anti-dilutive. Specifically, the denominator of the diluted EPS calculation excludes the additional shares related to the warrants because the average price of the Company's common stock was less than the strike price of the warrants of $80.91 per share. Prior to actual conversion, the Convertible Note Hedge Transactions are not considered in calculating diluted earnings per share, as their impact would be anti-dilutive.</w:t>
      </w:r>
    </w:p>
    <w:p>
      <w:pPr>
        <w:spacing w:after="0" w:line="143" w:lineRule="exact"/>
        <w:rPr>
          <w:sz w:val="20"/>
          <w:szCs w:val="20"/>
          <w:color w:val="auto"/>
        </w:rPr>
      </w:pPr>
    </w:p>
    <w:p>
      <w:pPr>
        <w:jc w:val="both"/>
        <w:ind w:right="180" w:firstLine="648"/>
        <w:spacing w:after="0" w:line="263" w:lineRule="auto"/>
        <w:rPr>
          <w:sz w:val="20"/>
          <w:szCs w:val="20"/>
          <w:color w:val="auto"/>
        </w:rPr>
      </w:pPr>
      <w:r>
        <w:rPr>
          <w:rFonts w:ascii="Times New Roman" w:cs="Times New Roman" w:eastAsia="Times New Roman" w:hAnsi="Times New Roman"/>
          <w:sz w:val="18"/>
          <w:szCs w:val="18"/>
          <w:color w:val="auto"/>
        </w:rPr>
        <w:t>In addition to the above described effect of the 2023 Notes and the related Convertible Note Hedge and Warrant Transactions, the Company also excluded the common stock equivalents of the following outstanding stock-based awards and shares associated with the conversion of the 2023 Notes in the calculation of diluted EPS, because their inclusion would be anti-dilutive:</w:t>
      </w:r>
    </w:p>
    <w:tbl>
      <w:tblPr>
        <w:tblLayout w:type="fixed"/>
        <w:tblInd w:w="0" w:type="dxa"/>
        <w:tblCellMar>
          <w:top w:w="0" w:type="dxa"/>
          <w:left w:w="0" w:type="dxa"/>
          <w:bottom w:w="0" w:type="dxa"/>
          <w:right w:w="0" w:type="dxa"/>
        </w:tblCellMar>
      </w:tblPr>
      <w:tr>
        <w:trPr>
          <w:trHeight w:val="150"/>
        </w:trPr>
        <w:tc>
          <w:tcPr>
            <w:tcW w:w="4500" w:type="dxa"/>
            <w:vAlign w:val="bottom"/>
          </w:tcPr>
          <w:p>
            <w:pPr>
              <w:spacing w:after="0"/>
              <w:rPr>
                <w:sz w:val="13"/>
                <w:szCs w:val="13"/>
                <w:color w:val="auto"/>
              </w:rPr>
            </w:pPr>
          </w:p>
        </w:tc>
        <w:tc>
          <w:tcPr>
            <w:tcW w:w="2340" w:type="dxa"/>
            <w:vAlign w:val="bottom"/>
          </w:tcPr>
          <w:p>
            <w:pPr>
              <w:jc w:val="center"/>
              <w:ind w:left="902"/>
              <w:spacing w:after="0" w:line="15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20" w:type="dxa"/>
            <w:vAlign w:val="bottom"/>
            <w:gridSpan w:val="2"/>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2340" w:type="dxa"/>
            <w:vAlign w:val="bottom"/>
            <w:tcBorders>
              <w:bottom w:val="single" w:sz="8" w:color="auto"/>
            </w:tcBorders>
          </w:tcPr>
          <w:p>
            <w:pPr>
              <w:jc w:val="center"/>
              <w:ind w:left="9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2340" w:type="dxa"/>
            <w:vAlign w:val="bottom"/>
            <w:tcBorders>
              <w:bottom w:val="single" w:sz="8" w:color="auto"/>
            </w:tcBorders>
          </w:tcPr>
          <w:p>
            <w:pPr>
              <w:jc w:val="right"/>
              <w:ind w:right="1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2340" w:type="dxa"/>
            <w:vAlign w:val="bottom"/>
          </w:tcPr>
          <w:p>
            <w:pPr>
              <w:jc w:val="center"/>
              <w:ind w:left="90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234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6,783,936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RSUs, PSUs</w:t>
            </w:r>
          </w:p>
        </w:tc>
        <w:tc>
          <w:tcPr>
            <w:tcW w:w="234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rPr>
              <w:t>792,904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1,654,816</w:t>
            </w:r>
          </w:p>
        </w:tc>
        <w:tc>
          <w:tcPr>
            <w:tcW w:w="100" w:type="dxa"/>
            <w:vAlign w:val="bottom"/>
          </w:tcPr>
          <w:p>
            <w:pPr>
              <w:spacing w:after="0"/>
              <w:rPr>
                <w:sz w:val="20"/>
                <w:szCs w:val="20"/>
                <w:color w:val="auto"/>
              </w:rPr>
            </w:pPr>
          </w:p>
        </w:tc>
        <w:tc>
          <w:tcPr>
            <w:tcW w:w="2200" w:type="dxa"/>
            <w:vAlign w:val="bottom"/>
          </w:tcPr>
          <w:p>
            <w:pPr>
              <w:jc w:val="right"/>
              <w:ind w:right="581"/>
              <w:spacing w:after="0"/>
              <w:rPr>
                <w:sz w:val="20"/>
                <w:szCs w:val="20"/>
                <w:color w:val="auto"/>
              </w:rPr>
            </w:pPr>
            <w:r>
              <w:rPr>
                <w:rFonts w:ascii="Times New Roman" w:cs="Times New Roman" w:eastAsia="Times New Roman" w:hAnsi="Times New Roman"/>
                <w:sz w:val="18"/>
                <w:szCs w:val="18"/>
                <w:color w:val="auto"/>
              </w:rPr>
              <w:t>470,822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mentioned in Note 2, as a result of the adoption of ASU 2020-06 on January 1, 2022 the Company calculated diluted earnings per share using the if-converted method. The 6.8 million in dilutive shares associated with the conversion of the 2023 Notes are not included in diluted weighted average shares of common stock outstanding for the purposes of calculating diluted earnings per share for the three months ended September 30, 2022 because their inclusion would be anti-dilutive. The 6.8 million in dilutive shares associated with the conversion of the 2023 Notes are included in diluted weighted average shares of common stock outstanding for the purposes of calculating diluted earnings per share for the nine months ended September 30, 2022. For the three and nine months ended September 30, 2021, the Company calculated diluted earnings per share using the treasury stock method wherein the shares associated with the conversion of the 2023 Notes were excluded as the Company assumed the 2023 Notes would be settled entirely or partly in cash.</w:t>
      </w:r>
    </w:p>
    <w:p>
      <w:pPr>
        <w:spacing w:after="0" w:line="14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earnings per share for the three and nine months ended September 30, 2022 under the if-converted method and for the three and nine months ended September 30, 2021 under the treasury stock method (dollars in thousands, except share and per share amounts):</w:t>
      </w: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60" w:type="dxa"/>
            <w:vAlign w:val="bottom"/>
            <w:gridSpan w:val="3"/>
          </w:tcPr>
          <w:p>
            <w:pPr>
              <w:jc w:val="center"/>
              <w:ind w:left="51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80" w:type="dxa"/>
            <w:vAlign w:val="bottom"/>
            <w:gridSpan w:val="4"/>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After-tax interest expense for 2023 Notes</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Numerator for dilutive earnings per share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37,894</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50,982</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53,789,674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53,187,764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53,517,838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53,053,441</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 RSUs and SARs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1,245,164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1,248,020</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6,783,936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55,034,838</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54,334,794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61,543,121</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54,301,461</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 (Benefit)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income tax (benefit) expense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(dollars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80" w:type="dxa"/>
            <w:vAlign w:val="bottom"/>
            <w:gridSpan w:val="3"/>
            <w:vMerge w:val="restart"/>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2"/>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5"/>
              </w:rPr>
              <w:t>(2,193)</w:t>
            </w:r>
          </w:p>
        </w:tc>
        <w:tc>
          <w:tcPr>
            <w:tcW w:w="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(9,627)</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20,142</w:t>
            </w:r>
          </w:p>
        </w:tc>
        <w:tc>
          <w:tcPr>
            <w:tcW w:w="0" w:type="dxa"/>
            <w:vAlign w:val="bottom"/>
          </w:tcPr>
          <w:p>
            <w:pPr>
              <w:spacing w:after="0"/>
              <w:rPr>
                <w:sz w:val="1"/>
                <w:szCs w:val="1"/>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493.9 %</w:t>
            </w:r>
          </w:p>
        </w:tc>
        <w:tc>
          <w:tcPr>
            <w:tcW w:w="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decrease in income tax expense for the three months ended September 30, 2022 compared to the same period in prior year was primarily due to lower earnings before income taxes. The change in effective tax rate for the three months ended September 30, 2022 compared to the same period in prior year was primarily due to larger excess tax benefits of stock-based awards in 2022.</w:t>
      </w:r>
    </w:p>
    <w:p>
      <w:pPr>
        <w:spacing w:after="0" w:line="20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change in income tax (benefit) expense and effective tax rate for the nine months ended September 30, 2022 compared to the same period in the prior year was primarily due to tax benefits associated with the Adamas legal entities reorganization in the first quarter of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 Space and Fleet Vehicle Leases</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its headquarters lease, certain other office space, and its fleet vehicles. With respect to the fleet vehicle leases, given the volume of individual leases involved in the overall arrangement, the Company applies a portfolio approach to effectively account for the operating lease assets and liabilities. The Company also elected to combine the lease and non-lease components for the fleet vehicles and headquarters leases.</w:t>
      </w:r>
    </w:p>
    <w:p>
      <w:pPr>
        <w:spacing w:after="0" w:line="13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Company's headquarters lease commenced on February 1, 2019 (the Commencement Date) and will continue until April 30, 2034, unless earlier terminated in accordance with the terms of the lease. The lease includes options to extend the lease for up to 10 years.</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part of the Adamas Acquisition, the Company acquired a lease for office space. Adamas' operating lease for the office space term will continue until April 30, 2025. The lease contains an option to extend the term for one additional five-year period.</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a measurement period, changes in fair value due to measurement period adjustments are recorded against goodwill. The Company recorded in the first quarter of 2022 a measurement period adjustment associated with the valuation of the acquired Adamas lease which decreased the fair value estimate of the operating lease right of use asset by $1.6 million. Refer to Note 3,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Manufacturing Lease</w:t>
      </w:r>
    </w:p>
    <w:p>
      <w:pPr>
        <w:spacing w:after="0" w:line="2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contract manufacturing agreement with Merz Pharma GmbH &amp; Co. KGaA (Merz), for the manufacture and supply of rimabotulinumtoxinB finished products (Merz Agreement). The Merz Agreement will expire in July 2027 unless the Company and Merz mutually agree to extend the terms. The Merz Agreement may not be terminated for convenience.</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the Company is required to purchase a minimum quantity of MYOBLOC finished products on an annual basis. This minimum purchase requirement represents the in-substance fixed contract consideration associated with the dedicated manufacturing facility which the Company accounts for as an embedded lease.</w:t>
      </w:r>
    </w:p>
    <w:p>
      <w:pPr>
        <w:spacing w:after="0" w:line="13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made an accounting policy election, by class of underlying asset, to not combine lease and non-lease components for the manufacturing facility. A portion of the in-substance fixed contract consideration was allocated to the lease component based on the stand-alone selling price. Accordingly, the Company classifies and accounts for the embedded lease as an operating lease.</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Operating lease assets and lease liabilities as reported on the condensed consolidated balance sheets are as follows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5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28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428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35,365</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35,365</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Accounts payable and accrued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3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4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Operating lease liabilities, long-term</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41,298</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Composition of Other Balance Sheet Items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details the composition of other balance sheet items (dollars in thousands for amounts in tables):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Receivables, Net</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has recorded allowances reducing accounts receivable by approximately $12.8 million and $13.5 million, respectively. These allowances represent prompt pay discounts and contractual service fees, which were originally recorded as a reduction to revenues, representing estimated amounts not expected to be paid by our customers. The Company's customers are primarily pharmaceutical wholesalers and distributors and specialty pharmacies.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45,711</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85,959</w:t>
            </w:r>
          </w:p>
        </w:tc>
      </w:tr>
      <w:tr>
        <w:trPr>
          <w:trHeight w:val="21"/>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Inventories as of September 30, 2022 include acquired inventory from the Adamas Acquisition. Refer to Note 3,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for further discussion of the acquisition.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 and furniture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33,409</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16,955</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approximately $0.8 million and $2.2 million for the three and nine months ended September 30, 2022, respectively, and approximately $0.6 million and $1.9 million for the three and nine months ended September 30, 2021, respectively. The Company retired certain fully depreciated property and equipment in the nine months ended September 30,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&amp; marketing fees</w:t>
            </w: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26,728</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product costs</w:t>
            </w: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royalties </w:t>
            </w:r>
            <w:r>
              <w:rPr>
                <w:rFonts w:ascii="Times New Roman" w:cs="Times New Roman" w:eastAsia="Times New Roman" w:hAnsi="Times New Roman"/>
                <w:sz w:val="23"/>
                <w:szCs w:val="23"/>
                <w:color w:val="auto"/>
                <w:vertAlign w:val="superscript"/>
              </w:rPr>
              <w:t>(1)</w:t>
            </w:r>
          </w:p>
        </w:tc>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clinical trial costs </w:t>
            </w:r>
            <w:r>
              <w:rPr>
                <w:rFonts w:ascii="Times New Roman" w:cs="Times New Roman" w:eastAsia="Times New Roman" w:hAnsi="Times New Roman"/>
                <w:sz w:val="23"/>
                <w:szCs w:val="23"/>
                <w:color w:val="auto"/>
                <w:vertAlign w:val="superscript"/>
              </w:rPr>
              <w:t>(2)</w:t>
            </w: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liabilities, current portion </w:t>
            </w:r>
            <w:r>
              <w:rPr>
                <w:rFonts w:ascii="Times New Roman" w:cs="Times New Roman" w:eastAsia="Times New Roman" w:hAnsi="Times New Roman"/>
                <w:sz w:val="23"/>
                <w:szCs w:val="23"/>
                <w:color w:val="auto"/>
                <w:vertAlign w:val="superscript"/>
              </w:rPr>
              <w:t>(3)</w:t>
            </w:r>
          </w:p>
        </w:tc>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w:t>
            </w:r>
          </w:p>
        </w:tc>
        <w:tc>
          <w:tcPr>
            <w:tcW w:w="2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140" w:type="dxa"/>
            <w:vAlign w:val="bottom"/>
            <w:vMerge w:val="continue"/>
          </w:tcPr>
          <w:p>
            <w:pPr>
              <w:spacing w:after="0"/>
              <w:rPr>
                <w:sz w:val="23"/>
                <w:szCs w:val="23"/>
                <w:color w:val="auto"/>
              </w:rPr>
            </w:pPr>
          </w:p>
        </w:tc>
        <w:tc>
          <w:tcPr>
            <w:tcW w:w="2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140" w:type="dxa"/>
            <w:vAlign w:val="bottom"/>
          </w:tcPr>
          <w:p>
            <w:pPr>
              <w:spacing w:after="0" w:line="221"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Refer to Note 16,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w:t>
            </w: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5"/>
                <w:szCs w:val="15"/>
                <w:color w:val="auto"/>
              </w:rPr>
              <w:t xml:space="preserve"> Includes preclinical and all clinical trial-related costs.</w:t>
            </w:r>
          </w:p>
        </w:tc>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5140" w:type="dxa"/>
            <w:vAlign w:val="bottom"/>
          </w:tcPr>
          <w:p>
            <w:pPr>
              <w:spacing w:after="0"/>
              <w:rPr>
                <w:sz w:val="20"/>
                <w:szCs w:val="20"/>
                <w:color w:val="auto"/>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6"/>
                <w:szCs w:val="16"/>
                <w:color w:val="auto"/>
              </w:rPr>
              <w:t xml:space="preserve"> Refer to Note 13,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Accrued Product Returns and Rebates</w:t>
            </w: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4"/>
                <w:szCs w:val="24"/>
                <w:color w:val="auto"/>
              </w:rPr>
            </w:pPr>
          </w:p>
        </w:tc>
        <w:tc>
          <w:tcPr>
            <w:tcW w:w="13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product rebates</w:t>
            </w:r>
          </w:p>
        </w:tc>
        <w:tc>
          <w:tcPr>
            <w:tcW w:w="3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97,597</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product returns</w:t>
            </w:r>
          </w:p>
        </w:tc>
        <w:tc>
          <w:tcPr>
            <w:tcW w:w="2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35,127</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14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4"/>
                <w:szCs w:val="24"/>
                <w:color w:val="auto"/>
              </w:rPr>
            </w:pPr>
          </w:p>
        </w:tc>
        <w:tc>
          <w:tcPr>
            <w:tcW w:w="13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Nonrecourse liability related to sale of future royalties, long-term</w:t>
            </w:r>
          </w:p>
        </w:tc>
        <w:tc>
          <w:tcPr>
            <w:tcW w:w="3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1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Interest Expense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details the composition of interest expense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4"/>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0" w:type="dxa"/>
            <w:vAlign w:val="bottom"/>
          </w:tcPr>
          <w:p>
            <w:pPr>
              <w:spacing w:after="0"/>
              <w:rPr>
                <w:sz w:val="1"/>
                <w:szCs w:val="1"/>
                <w:color w:val="auto"/>
              </w:rPr>
            </w:pPr>
          </w:p>
        </w:tc>
      </w:tr>
      <w:tr>
        <w:trPr>
          <w:trHeight w:val="176"/>
        </w:trPr>
        <w:tc>
          <w:tcPr>
            <w:tcW w:w="4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expense on nonrecourse liability related to sale of</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future royalties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the three and nine months ended September 30, 2022, interest expense includes noncash interest expense related to amortization of deferred financing costs of $0.5 million and $1.6 million. For the three and nine months ended September 30, 2021, interest expense includes noncash interest expense related to amortization of deferred financing costs and amortization of the debt discount on the 2023 Notes of $4.4 million and $13.0 million. As discussed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the Company adopted ASU 2020-06 on January 1, 2022. As a result, interest expense for the three and nine months ended September 30, 2022 significantly decreased compared to the three and nine months ended September 30, 2021 due to the Company no longer recording interest expense on the previously recorded discount for the embedded conversion feature on the 2023 Notes.</w:t>
      </w:r>
    </w:p>
    <w:p>
      <w:pPr>
        <w:spacing w:after="0" w:line="1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Licenses</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13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condensed consolidated statements of earnings.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of 2014, the Company received $30 million pursuant to a Royalty Interest Acquisition Agreement related to the purchase by HC Royalty of certain of the Company's rights under the Company's agreement with United Therapeutics related to the commercialization of Orenitram (treprostinil) Extended-Release Tablets. Full ownership of the royalty rights will revert to the Company if and when a certain cumulative payment threshold is reached (see Note 4, Note 14, and Note 15).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Enterprises Commitments Assumed</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part of the USWM Acquisition, the Company assumed the remaining commitments of USWM Enterprises and its subsidiaries, which are discussed below.</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assumed the annual minimum purchase requirement of MYOBLOC, amounting to an estimated €3.9 million annually, under the contract manufacturing agreement with Merz for manufacture and supply. Refer to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discussion related to the Merz Agreement in connection with the MYOBLOC annual minimum purchase requirement.</w:t>
      </w:r>
    </w:p>
    <w:p>
      <w:pPr>
        <w:spacing w:after="0" w:line="14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USWM Enterprises had an existing license and distribution agreement for XADAGO. This included an annual minimum promotional spend to support the marketing of XADAGO for the first five years of the agreement which will end in 2022. As of September 30, 2022, there is no remaining contractual commitment.</w:t>
      </w:r>
    </w:p>
    <w:p>
      <w:pPr>
        <w:spacing w:after="0" w:line="13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March 2019, MDD US Operations, LLC (formerly US WorldMeds, LLC) and its subsidiary, Solstice Neurosciences, LLC (US) (collectively, the MDD Subsidiaries) entered into a Corporate Integrity Agreement (CIA) with the Office of Inspector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General of the U.S. Department of Health and Human Services.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will continue to maintain a broad array of processes, policies and procedures necessary to comply with the CIA through March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Breach-related Contingency</w:t>
      </w:r>
    </w:p>
    <w:p>
      <w:pPr>
        <w:spacing w:after="0" w:line="17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On November 24, 2021, the Company announced that it was the target of a ransomware attack. The attack had no significant impact on our business and did not cause any long-term disruption to our operations. Based on its internal investigation, the Company believes the criminal ransomware groups ("criminal groups") copied certain data from the Company's systems, encrypted certain data on the Company's systems, and then deployed malware designed to impede access to the Company's systems. Thereafter the criminal groups contacted the Company and threatened to publish certain data copied from the Company's systems. Upon detection of the ransomware attack, the Company notified government authorities, engaged third-party cybersecurity experts through our outside counsel, and commenced its recovery process. The Company maintains redundant off-site data backups, which were verified to have not been compromised by the ransomware attack and were utilized to restore the data encrypted by the criminal groups. In the fourth quarter of 2021, the Company had successfully recovered the impacted files and took additional steps designed to further protect its networks and files.</w:t>
      </w:r>
    </w:p>
    <w:p>
      <w:pPr>
        <w:spacing w:after="0" w:line="17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Furthermore,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 The Company continues to monitor the situation.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NAMENDA XR/Namzaric Qui Tam Litigation</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The petition remains pending. No decision has been reached as of the date of this filing. The Company intends to defend itself vigorously. However, the Company can offer no assurances that it will be successful in a litigation.</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SPN-830 Regulatory Development</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2021, we resubmitted the NDA for SPN-830 to the FDA. In February 2022, we received a notice from the FDA that the resubmission of the NDA for SPN-830 is considered as a Standard Review, thereby was assigned a PDUFA target action date in early October 2022. In October 2022, the FDA issued a CRL regarding the NDA for SPN-830. The CRL requires additional information and analysis related to the infusion device and drug product across several areas of the NDA including, but not limited to, labeling, product quality and manufacturing, device performance and risk analysis. In addition, the FDA mentions that approval of the NDA requires inspections that could not be completed in a timely manner due to COVID-19 travel restrictions. The CRL does not request additional efficacy and safety clinical studies. The FDA has made an initial determination that the amendment to the Company’s application in response to the CRL will be subject to a Class 2, or six-month, review timeline.</w:t>
      </w:r>
    </w:p>
    <w:p>
      <w:pPr>
        <w:spacing w:after="0" w:line="16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is in the process of analyzing the CRL and determining next steps for the resubmission of the NDA. While it is too early to ascertain the full impact to our financial statements, we anticipate that we may identify indicators of impairment for the IPR&amp;D asset that represents an estimate of the fair value of SPN-830, the product candidate, that could result from the non-approval of the NDA. The potential adjustment to the IPR&amp;D asset that may be necessary as a result of any required interim impairment analysis may be material. Additionally, the Company also expects to assess adjustments to the fair value of the contingent consideration arrangements which includes milestones payments due upon achievement of certain FDA's regulatory approval and commercial launch of SPN-830. While we are unable to estimate the anticipated financial impact at this time, we expect potential adjustments, which may be material, will be recognized and reported within the fourth quarter of 2022. These adjustments could impact the Company’s future results of operations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APOKYN Litigation</w:t>
      </w:r>
    </w:p>
    <w:p>
      <w:pPr>
        <w:spacing w:after="0" w:line="173" w:lineRule="exact"/>
        <w:rPr>
          <w:sz w:val="20"/>
          <w:szCs w:val="20"/>
          <w:color w:val="auto"/>
        </w:rPr>
      </w:pPr>
    </w:p>
    <w:p>
      <w:pPr>
        <w:jc w:val="both"/>
        <w:ind w:right="60" w:firstLine="225"/>
        <w:spacing w:after="0" w:line="266" w:lineRule="auto"/>
        <w:rPr>
          <w:sz w:val="20"/>
          <w:szCs w:val="20"/>
          <w:color w:val="auto"/>
        </w:rPr>
      </w:pPr>
      <w:r>
        <w:rPr>
          <w:rFonts w:ascii="Times New Roman" w:cs="Times New Roman" w:eastAsia="Times New Roman" w:hAnsi="Times New Roman"/>
          <w:sz w:val="18"/>
          <w:szCs w:val="18"/>
          <w:color w:val="auto"/>
        </w:rPr>
        <w:t>On October 3, 2022, Sage Chemical, Inc. and TruPharma, LLC filed a lawsuit in the United States District Court for the District of Delaware (Case No. 22-cv-1302) alleging that Supernus Pharmaceuticals, Inc., Britannia Pharmaceuticals Limited, and US WorldMeds Partners, LLC violated state and federal antitrust law in connection with APOKYN. The Company is currently reviewing the details of the complaint and will respond as appropriate.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2021 and the related Management’s Discussion and Analysis of Financial Condition and Results of Operations, both of which are contained in our Annual Report on Form 10-K, filed with the Securities and Exchange Commission on April 13, 2022.</w:t>
      </w:r>
    </w:p>
    <w:p>
      <w:pPr>
        <w:spacing w:after="0" w:line="14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our Quarterly Report on Form 10-Q filed with the Securities and Exchange Commission on August 8, 2022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49"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portfolio of commercial products and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Products</w:t>
      </w:r>
    </w:p>
    <w:p>
      <w:pPr>
        <w:spacing w:after="0" w:line="197" w:lineRule="exact"/>
        <w:rPr>
          <w:sz w:val="20"/>
          <w:szCs w:val="20"/>
          <w:color w:val="auto"/>
        </w:rPr>
      </w:pPr>
    </w:p>
    <w:p>
      <w:pPr>
        <w:ind w:left="660" w:hanging="328"/>
        <w:spacing w:after="0" w:line="23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(topiramate) is the first once-daily extended-release topiramate product indicated for the treatment of epilepsy in patients 6 years of age and older in the United States (U.S.) market. It is also indicated for the prophylaxis of migraine headache in adults and adolescents 12 years and older.</w:t>
      </w:r>
    </w:p>
    <w:p>
      <w:pPr>
        <w:spacing w:after="0" w:line="156" w:lineRule="exact"/>
        <w:rPr>
          <w:rFonts w:ascii="Times New Roman" w:cs="Times New Roman" w:eastAsia="Times New Roman" w:hAnsi="Times New Roman"/>
          <w:sz w:val="18"/>
          <w:szCs w:val="18"/>
          <w:color w:val="auto"/>
        </w:rPr>
      </w:pPr>
    </w:p>
    <w:p>
      <w:pPr>
        <w:ind w:left="660" w:right="200" w:hanging="328"/>
        <w:spacing w:after="0" w:line="23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(oxcarbazepine) is indicated as therapy for the treatment of partial onset seizures in patients 6 years of age and older. It is also the first once-daily extended-release oxcarbazepine product indicated for the treatment of epilepsy in the U.S.</w:t>
      </w:r>
    </w:p>
    <w:p>
      <w:pPr>
        <w:spacing w:after="0" w:line="159" w:lineRule="exact"/>
        <w:rPr>
          <w:rFonts w:ascii="Times New Roman" w:cs="Times New Roman" w:eastAsia="Times New Roman" w:hAnsi="Times New Roman"/>
          <w:sz w:val="18"/>
          <w:szCs w:val="18"/>
          <w:color w:val="auto"/>
        </w:rPr>
      </w:pPr>
    </w:p>
    <w:p>
      <w:pPr>
        <w:ind w:left="660" w:right="20" w:hanging="328"/>
        <w:spacing w:after="0" w:line="23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(viloxazine extended-release capsules) is a novel non-stimulant product indicated for the treatment of ADHD in adults and pediatric patients 6 years and older. On April 2, 2021, the U.S. Food and Drug Administration (FDA) approved Qelbree for the treatment of ADHD in pediatric patients 6 to 17 years of age. In May 2021, the Company launched Qelbree for pediatric patients in the U.S. On April 29, 2022, the FDA approved Qelbree for treatment of ADHD in adult patients. The Company launched Qelbree for adult patients in May 2022.</w:t>
      </w:r>
    </w:p>
    <w:p>
      <w:pPr>
        <w:spacing w:after="0" w:line="167" w:lineRule="exact"/>
        <w:rPr>
          <w:rFonts w:ascii="Times New Roman" w:cs="Times New Roman" w:eastAsia="Times New Roman" w:hAnsi="Times New Roman"/>
          <w:sz w:val="18"/>
          <w:szCs w:val="18"/>
          <w:color w:val="auto"/>
        </w:rPr>
      </w:pPr>
    </w:p>
    <w:p>
      <w:pPr>
        <w:jc w:val="both"/>
        <w:ind w:left="660" w:right="320" w:hanging="328"/>
        <w:spacing w:after="0" w:line="23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spacing w:after="0" w:line="156" w:lineRule="exact"/>
        <w:rPr>
          <w:rFonts w:ascii="Times New Roman" w:cs="Times New Roman" w:eastAsia="Times New Roman" w:hAnsi="Times New Roman"/>
          <w:sz w:val="18"/>
          <w:szCs w:val="18"/>
          <w:color w:val="auto"/>
        </w:rPr>
      </w:pPr>
    </w:p>
    <w:p>
      <w:pPr>
        <w:ind w:left="660" w:right="360" w:hanging="328"/>
        <w:spacing w:after="0" w:line="23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(apomorphine hydrochloride injection) is a product indicated for the acute, intermittent treatment of hypomobility, "off" episodes ("end-of-dose wearing off" and unpredictable "on/off" episodes) in patients with advanced PD.</w:t>
      </w:r>
    </w:p>
    <w:p>
      <w:pPr>
        <w:spacing w:after="0" w:line="159" w:lineRule="exact"/>
        <w:rPr>
          <w:rFonts w:ascii="Times New Roman" w:cs="Times New Roman" w:eastAsia="Times New Roman" w:hAnsi="Times New Roman"/>
          <w:sz w:val="18"/>
          <w:szCs w:val="18"/>
          <w:color w:val="auto"/>
        </w:rPr>
      </w:pPr>
    </w:p>
    <w:p>
      <w:pPr>
        <w:ind w:left="660" w:right="140" w:hanging="328"/>
        <w:spacing w:after="0" w:line="22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(safinamide) is a once-daily product indicated as adjunctive treatment to levodopa/carbidopa in patients with PD experiencing "off" episodes.</w:t>
      </w:r>
    </w:p>
    <w:p>
      <w:pPr>
        <w:spacing w:after="0" w:line="167" w:lineRule="exact"/>
        <w:rPr>
          <w:rFonts w:ascii="Times New Roman" w:cs="Times New Roman" w:eastAsia="Times New Roman" w:hAnsi="Times New Roman"/>
          <w:sz w:val="18"/>
          <w:szCs w:val="18"/>
          <w:color w:val="auto"/>
        </w:rPr>
      </w:pPr>
    </w:p>
    <w:p>
      <w:pPr>
        <w:ind w:left="660" w:right="160" w:hanging="328"/>
        <w:spacing w:after="0" w:line="23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Osmolex 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(amantadine) extended-release is a once-daily product for the treatment of PD and drug-induced extrapyramidal reactions in adult patients.</w:t>
      </w:r>
    </w:p>
    <w:p>
      <w:pPr>
        <w:spacing w:after="0" w:line="155" w:lineRule="exact"/>
        <w:rPr>
          <w:rFonts w:ascii="Times New Roman" w:cs="Times New Roman" w:eastAsia="Times New Roman" w:hAnsi="Times New Roman"/>
          <w:sz w:val="18"/>
          <w:szCs w:val="18"/>
          <w:color w:val="auto"/>
        </w:rPr>
      </w:pPr>
    </w:p>
    <w:p>
      <w:pPr>
        <w:ind w:left="660" w:right="180" w:hanging="328"/>
        <w:spacing w:after="0" w:line="23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(rimabotulinumtoxinB injection) is a product indicated for the treatment of cervical dystonia and chronic sialorrhea in adults. It is the only botulinum toxin type B available on the market.</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4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are developing a pipeline of novel CNS product candidates for the treatment of various CNS conditions. The table below summarizes our product candidates in clinical development.</w:t>
      </w:r>
    </w:p>
    <w:p>
      <w:pPr>
        <w:spacing w:after="0" w:line="166" w:lineRule="exact"/>
        <w:rPr>
          <w:sz w:val="20"/>
          <w:szCs w:val="20"/>
          <w:color w:val="auto"/>
        </w:rPr>
      </w:pPr>
    </w:p>
    <w:tbl>
      <w:tblPr>
        <w:tblLayout w:type="fixed"/>
        <w:tblInd w:w="670" w:type="dxa"/>
        <w:tblCellMar>
          <w:top w:w="0" w:type="dxa"/>
          <w:left w:w="0" w:type="dxa"/>
          <w:bottom w:w="0" w:type="dxa"/>
          <w:right w:w="0" w:type="dxa"/>
        </w:tblCellMar>
      </w:tblPr>
      <w:tr>
        <w:trPr>
          <w:trHeight w:val="297"/>
        </w:trPr>
        <w:tc>
          <w:tcPr>
            <w:tcW w:w="2880" w:type="dxa"/>
            <w:vAlign w:val="bottom"/>
            <w:tcBorders>
              <w:left w:val="single" w:sz="8" w:color="6D6D6D"/>
              <w:right w:val="single" w:sz="8" w:color="6D6D6D"/>
            </w:tcBorders>
            <w:shd w:val="clear" w:color="auto" w:fill="242424"/>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Product Candidate</w:t>
            </w:r>
          </w:p>
        </w:tc>
        <w:tc>
          <w:tcPr>
            <w:tcW w:w="2520" w:type="dxa"/>
            <w:vAlign w:val="bottom"/>
            <w:tcBorders>
              <w:right w:val="single" w:sz="8" w:color="6D6D6D"/>
            </w:tcBorders>
            <w:shd w:val="clear" w:color="auto" w:fill="242424"/>
          </w:tcPr>
          <w:p>
            <w:pPr>
              <w:jc w:val="center"/>
              <w:spacing w:after="0"/>
              <w:rPr>
                <w:sz w:val="20"/>
                <w:szCs w:val="20"/>
                <w:color w:val="auto"/>
              </w:rPr>
            </w:pPr>
            <w:r>
              <w:rPr>
                <w:rFonts w:ascii="Times New Roman" w:cs="Times New Roman" w:eastAsia="Times New Roman" w:hAnsi="Times New Roman"/>
                <w:sz w:val="22"/>
                <w:szCs w:val="22"/>
                <w:b w:val="1"/>
                <w:bCs w:val="1"/>
                <w:color w:val="FFFFFF"/>
                <w:w w:val="97"/>
              </w:rPr>
              <w:t>Indication</w:t>
            </w:r>
          </w:p>
        </w:tc>
        <w:tc>
          <w:tcPr>
            <w:tcW w:w="2180" w:type="dxa"/>
            <w:vAlign w:val="bottom"/>
            <w:tcBorders>
              <w:right w:val="single" w:sz="8" w:color="6D6D6D"/>
            </w:tcBorders>
            <w:shd w:val="clear" w:color="auto" w:fill="242424"/>
          </w:tcPr>
          <w:p>
            <w:pPr>
              <w:jc w:val="center"/>
              <w:spacing w:after="0"/>
              <w:rPr>
                <w:sz w:val="20"/>
                <w:szCs w:val="20"/>
                <w:color w:val="auto"/>
              </w:rPr>
            </w:pPr>
            <w:r>
              <w:rPr>
                <w:rFonts w:ascii="Times New Roman" w:cs="Times New Roman" w:eastAsia="Times New Roman" w:hAnsi="Times New Roman"/>
                <w:sz w:val="22"/>
                <w:szCs w:val="22"/>
                <w:b w:val="1"/>
                <w:bCs w:val="1"/>
                <w:color w:val="FFFFFF"/>
                <w:w w:val="97"/>
              </w:rPr>
              <w:t>Development</w:t>
            </w:r>
          </w:p>
        </w:tc>
        <w:tc>
          <w:tcPr>
            <w:tcW w:w="2260" w:type="dxa"/>
            <w:vAlign w:val="bottom"/>
            <w:tcBorders>
              <w:right w:val="single" w:sz="8" w:color="6D6D6D"/>
            </w:tcBorders>
            <w:shd w:val="clear" w:color="auto" w:fill="242424"/>
          </w:tcPr>
          <w:p>
            <w:pPr>
              <w:jc w:val="center"/>
              <w:spacing w:after="0"/>
              <w:rPr>
                <w:sz w:val="20"/>
                <w:szCs w:val="20"/>
                <w:color w:val="auto"/>
              </w:rPr>
            </w:pPr>
            <w:r>
              <w:rPr>
                <w:rFonts w:ascii="Times New Roman" w:cs="Times New Roman" w:eastAsia="Times New Roman" w:hAnsi="Times New Roman"/>
                <w:sz w:val="22"/>
                <w:szCs w:val="22"/>
                <w:b w:val="1"/>
                <w:bCs w:val="1"/>
                <w:color w:val="FFFFFF"/>
              </w:rPr>
              <w:t>NDA</w:t>
            </w:r>
          </w:p>
        </w:tc>
        <w:tc>
          <w:tcPr>
            <w:tcW w:w="0" w:type="dxa"/>
            <w:vAlign w:val="bottom"/>
          </w:tcPr>
          <w:p>
            <w:pPr>
              <w:spacing w:after="0"/>
              <w:rPr>
                <w:sz w:val="1"/>
                <w:szCs w:val="1"/>
                <w:color w:val="auto"/>
              </w:rPr>
            </w:pPr>
          </w:p>
        </w:tc>
      </w:tr>
      <w:tr>
        <w:trPr>
          <w:trHeight w:val="184"/>
        </w:trPr>
        <w:tc>
          <w:tcPr>
            <w:tcW w:w="2880" w:type="dxa"/>
            <w:vAlign w:val="bottom"/>
            <w:tcBorders>
              <w:left w:val="single" w:sz="8" w:color="6D6D6D"/>
              <w:right w:val="single" w:sz="8" w:color="6D6D6D"/>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SPN-830</w:t>
            </w:r>
          </w:p>
        </w:tc>
        <w:tc>
          <w:tcPr>
            <w:tcW w:w="2520" w:type="dxa"/>
            <w:vAlign w:val="bottom"/>
            <w:tcBorders>
              <w:right w:val="single" w:sz="8" w:color="6D6D6D"/>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Continuous treatment of motor</w:t>
            </w:r>
          </w:p>
        </w:tc>
        <w:tc>
          <w:tcPr>
            <w:tcW w:w="2180" w:type="dxa"/>
            <w:vAlign w:val="bottom"/>
            <w:tcBorders>
              <w:right w:val="single" w:sz="8" w:color="6D6D6D"/>
            </w:tcBorders>
          </w:tcPr>
          <w:p>
            <w:pPr>
              <w:spacing w:after="0"/>
              <w:rPr>
                <w:sz w:val="16"/>
                <w:szCs w:val="16"/>
                <w:color w:val="auto"/>
              </w:rPr>
            </w:pPr>
          </w:p>
        </w:tc>
        <w:tc>
          <w:tcPr>
            <w:tcW w:w="2260" w:type="dxa"/>
            <w:vAlign w:val="bottom"/>
            <w:tcBorders>
              <w:right w:val="single" w:sz="8" w:color="6D6D6D"/>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Complete Response Letter</w:t>
            </w:r>
          </w:p>
        </w:tc>
        <w:tc>
          <w:tcPr>
            <w:tcW w:w="0" w:type="dxa"/>
            <w:vAlign w:val="bottom"/>
          </w:tcPr>
          <w:p>
            <w:pPr>
              <w:spacing w:after="0"/>
              <w:rPr>
                <w:sz w:val="1"/>
                <w:szCs w:val="1"/>
                <w:color w:val="auto"/>
              </w:rPr>
            </w:pPr>
          </w:p>
        </w:tc>
      </w:tr>
      <w:tr>
        <w:trPr>
          <w:trHeight w:val="180"/>
        </w:trPr>
        <w:tc>
          <w:tcPr>
            <w:tcW w:w="2880" w:type="dxa"/>
            <w:vAlign w:val="bottom"/>
            <w:tcBorders>
              <w:left w:val="single" w:sz="8" w:color="6D6D6D"/>
              <w:right w:val="single" w:sz="8" w:color="6D6D6D"/>
            </w:tcBorders>
            <w:vMerge w:val="continue"/>
          </w:tcPr>
          <w:p>
            <w:pPr>
              <w:spacing w:after="0"/>
              <w:rPr>
                <w:sz w:val="15"/>
                <w:szCs w:val="15"/>
                <w:color w:val="auto"/>
              </w:rPr>
            </w:pPr>
          </w:p>
        </w:tc>
        <w:tc>
          <w:tcPr>
            <w:tcW w:w="2520" w:type="dxa"/>
            <w:vAlign w:val="bottom"/>
            <w:tcBorders>
              <w:right w:val="single" w:sz="8" w:color="6D6D6D"/>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fluctuations ("off" episodes) in</w:t>
            </w:r>
          </w:p>
        </w:tc>
        <w:tc>
          <w:tcPr>
            <w:tcW w:w="2180" w:type="dxa"/>
            <w:vAlign w:val="bottom"/>
            <w:tcBorders>
              <w:right w:val="single" w:sz="8" w:color="6D6D6D"/>
            </w:tcBorders>
          </w:tcPr>
          <w:p>
            <w:pPr>
              <w:spacing w:after="0"/>
              <w:rPr>
                <w:sz w:val="15"/>
                <w:szCs w:val="15"/>
                <w:color w:val="auto"/>
              </w:rPr>
            </w:pPr>
          </w:p>
        </w:tc>
        <w:tc>
          <w:tcPr>
            <w:tcW w:w="2260" w:type="dxa"/>
            <w:vAlign w:val="bottom"/>
            <w:tcBorders>
              <w:right w:val="single" w:sz="8" w:color="6D6D6D"/>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(CRL) received from FDA in</w:t>
            </w:r>
          </w:p>
        </w:tc>
        <w:tc>
          <w:tcPr>
            <w:tcW w:w="0" w:type="dxa"/>
            <w:vAlign w:val="bottom"/>
          </w:tcPr>
          <w:p>
            <w:pPr>
              <w:spacing w:after="0"/>
              <w:rPr>
                <w:sz w:val="1"/>
                <w:szCs w:val="1"/>
                <w:color w:val="auto"/>
              </w:rPr>
            </w:pPr>
          </w:p>
        </w:tc>
      </w:tr>
      <w:tr>
        <w:trPr>
          <w:trHeight w:val="230"/>
        </w:trPr>
        <w:tc>
          <w:tcPr>
            <w:tcW w:w="2880" w:type="dxa"/>
            <w:vAlign w:val="bottom"/>
            <w:tcBorders>
              <w:left w:val="single" w:sz="8" w:color="6D6D6D"/>
              <w:bottom w:val="single" w:sz="8" w:color="6D6D6D"/>
              <w:right w:val="single" w:sz="8" w:color="6D6D6D"/>
            </w:tcBorders>
          </w:tcPr>
          <w:p>
            <w:pPr>
              <w:spacing w:after="0"/>
              <w:rPr>
                <w:sz w:val="19"/>
                <w:szCs w:val="19"/>
                <w:color w:val="auto"/>
              </w:rPr>
            </w:pPr>
          </w:p>
        </w:tc>
        <w:tc>
          <w:tcPr>
            <w:tcW w:w="252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rPr>
              <w:t>PD patients</w:t>
            </w:r>
          </w:p>
        </w:tc>
        <w:tc>
          <w:tcPr>
            <w:tcW w:w="2180" w:type="dxa"/>
            <w:vAlign w:val="bottom"/>
            <w:tcBorders>
              <w:bottom w:val="single" w:sz="8" w:color="6D6D6D"/>
              <w:right w:val="single" w:sz="8" w:color="6D6D6D"/>
            </w:tcBorders>
          </w:tcPr>
          <w:p>
            <w:pPr>
              <w:spacing w:after="0"/>
              <w:rPr>
                <w:sz w:val="19"/>
                <w:szCs w:val="19"/>
                <w:color w:val="auto"/>
              </w:rPr>
            </w:pPr>
          </w:p>
        </w:tc>
        <w:tc>
          <w:tcPr>
            <w:tcW w:w="226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23"/>
        </w:trPr>
        <w:tc>
          <w:tcPr>
            <w:tcW w:w="2880" w:type="dxa"/>
            <w:vAlign w:val="bottom"/>
            <w:tcBorders>
              <w:left w:val="single" w:sz="8" w:color="6D6D6D"/>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SPN-820</w:t>
            </w:r>
          </w:p>
        </w:tc>
        <w:tc>
          <w:tcPr>
            <w:tcW w:w="252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rPr>
              <w:t>Treatment-resistant depression</w:t>
            </w:r>
          </w:p>
        </w:tc>
        <w:tc>
          <w:tcPr>
            <w:tcW w:w="218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9"/>
              </w:rPr>
              <w:t>Phase II</w:t>
            </w:r>
          </w:p>
        </w:tc>
        <w:tc>
          <w:tcPr>
            <w:tcW w:w="2260" w:type="dxa"/>
            <w:vAlign w:val="bottom"/>
            <w:tcBorders>
              <w:bottom w:val="single" w:sz="8" w:color="6D6D6D"/>
              <w:right w:val="single" w:sz="8" w:color="6D6D6D"/>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left w:val="single" w:sz="8" w:color="6D6D6D"/>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SPN-817</w:t>
            </w:r>
          </w:p>
        </w:tc>
        <w:tc>
          <w:tcPr>
            <w:tcW w:w="252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9"/>
              </w:rPr>
              <w:t>Treatment-resistant seizures</w:t>
            </w:r>
          </w:p>
        </w:tc>
        <w:tc>
          <w:tcPr>
            <w:tcW w:w="218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8"/>
              </w:rPr>
              <w:t>Phase I</w:t>
            </w:r>
          </w:p>
        </w:tc>
        <w:tc>
          <w:tcPr>
            <w:tcW w:w="2260" w:type="dxa"/>
            <w:vAlign w:val="bottom"/>
            <w:tcBorders>
              <w:bottom w:val="single" w:sz="8" w:color="6D6D6D"/>
              <w:right w:val="single" w:sz="8" w:color="6D6D6D"/>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left w:val="single" w:sz="8" w:color="6D6D6D"/>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SPN-443</w:t>
            </w:r>
          </w:p>
        </w:tc>
        <w:tc>
          <w:tcPr>
            <w:tcW w:w="252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6"/>
              </w:rPr>
              <w:t>CNS</w:t>
            </w:r>
          </w:p>
        </w:tc>
        <w:tc>
          <w:tcPr>
            <w:tcW w:w="218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8"/>
              </w:rPr>
              <w:t>Preclinical</w:t>
            </w:r>
          </w:p>
        </w:tc>
        <w:tc>
          <w:tcPr>
            <w:tcW w:w="2260" w:type="dxa"/>
            <w:vAlign w:val="bottom"/>
            <w:tcBorders>
              <w:bottom w:val="single" w:sz="8" w:color="6D6D6D"/>
              <w:right w:val="single" w:sz="8" w:color="6D6D6D"/>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left w:val="single" w:sz="8" w:color="6D6D6D"/>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SPN-446</w:t>
            </w:r>
          </w:p>
        </w:tc>
        <w:tc>
          <w:tcPr>
            <w:tcW w:w="252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6"/>
              </w:rPr>
              <w:t>CNS</w:t>
            </w:r>
          </w:p>
        </w:tc>
        <w:tc>
          <w:tcPr>
            <w:tcW w:w="218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8"/>
              </w:rPr>
              <w:t>Preclinical</w:t>
            </w:r>
          </w:p>
        </w:tc>
        <w:tc>
          <w:tcPr>
            <w:tcW w:w="2260" w:type="dxa"/>
            <w:vAlign w:val="bottom"/>
            <w:tcBorders>
              <w:bottom w:val="single" w:sz="8" w:color="6D6D6D"/>
              <w:right w:val="single" w:sz="8" w:color="6D6D6D"/>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SPN-830 (apomorphine infusion device)</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w:t>
      </w:r>
    </w:p>
    <w:p>
      <w:pPr>
        <w:spacing w:after="0" w:line="13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December 2021, we resubmitted the NDA to the FDA. In February 2022, we received a notice from the FDA that the resubmission of the NDA for SPN-830 is considered as a Standard Review, thereby was assigned a PDUFA target action date in early October 2022. In October 2022, the FDA issued a CRL regarding the NDA for SPN-830. The CRL requires additional information and analysis related to the infusion device and drug product across several areas of the NDA including, but not limited to, labeling, product quality and manufacturing, device performance and risk analysis. In addition, the FDA mentions that approval of the NDA requires inspections that could not be completed in a timely manner due to COVID-19 travel restrictions. The CRL does not request additional efficacy and safety clinical studies. The FDA has made an initial determination that the amendment to the Company’s application in response to the CRL will be subject to a Class 2, or six-month, review timeline.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20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SPN-820 is a first-in-class, orally active small molecule that directly activates brain mechanistic target of rapamycin complex 1 (mTORC1), a gatekeeper of cellular metabolism and renewal. SPN-820 binds to and modulates sestrin, which senses amino acid availability in the brain, a potent natural activator of mTORC1.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SPN-817 represents a novel mechanism of action (MOA) for an anticonvulsant. SPN-817 is a novel synthetic form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Adamas Reorganization</w:t>
      </w:r>
    </w:p>
    <w:p>
      <w:pPr>
        <w:spacing w:after="0" w:line="17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In the first quarter of 2022 and subsequent to the Adamas Acquisition, the Company completed a reorganization of the Adamas legal entities in an effort to obtain operational, legal and other benefits that also resulted in certain state tax efficiencies. The reorganization had no effect on the condensed consolidated financial statements other than certain state tax efficiencies. (See Note 12, </w:t>
      </w:r>
      <w:r>
        <w:rPr>
          <w:rFonts w:ascii="Times New Roman" w:cs="Times New Roman" w:eastAsia="Times New Roman" w:hAnsi="Times New Roman"/>
          <w:sz w:val="18"/>
          <w:szCs w:val="18"/>
          <w:i w:val="1"/>
          <w:iCs w:val="1"/>
          <w:color w:val="auto"/>
        </w:rPr>
        <w:t>Income Tax (Benefit) Expense).</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20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While the impact of the ongoing COVID-19 pandemic did not have a material adverse effect on our financial position or results of operations for the three months and nine months ended September 30, 2022, we continue to closely monitor the events and circumstances surrounding the COVID-19 pandemic and its impact on all aspects of our business operations. Since the situation surrounding the COVID-19 pandemic remains fluid and the duration uncertain, the long-term nature and extent of the impacts of the pandemic on our business operations and financial position cannot be reasonably estimated at this time. See “Risk Factors” in Part I, Item 1A of our Annual Report on Form 10-K and "Risk Factors" in Part II, Item 1A of our Quarterly Report on Form 10-Q filed with the Securities and Exchange Commission on August 8, 2022 for additional information on risk factors that could impact our business and our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Qelbree Launch Update</w:t>
      </w:r>
    </w:p>
    <w:p>
      <w:pPr>
        <w:spacing w:after="0" w:line="202" w:lineRule="exact"/>
        <w:rPr>
          <w:sz w:val="20"/>
          <w:szCs w:val="20"/>
          <w:color w:val="auto"/>
        </w:rPr>
      </w:pPr>
    </w:p>
    <w:p>
      <w:pPr>
        <w:ind w:left="660" w:right="2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IQVIA prescriptions were 94,328 in the third quarter of 2022, an increase of 50% compared to total prescriptions of 62,938 in the second quarter of 2022. In September 2022, the most recent month available, total prescriptions reached 34,633.</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Qelbree continues to expand its base of prescribers, with approximately 14,265 prescribers in the third quarter of 2022, up from 9,276 prescribers from the second quarter of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 Update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SPN-830 (apomorphine infusion device) - Continuous treatment of motor fluctuations (“off” episodes) in Parkinson's disease (PD)</w:t>
      </w:r>
    </w:p>
    <w:p>
      <w:pPr>
        <w:spacing w:after="0" w:line="187" w:lineRule="exact"/>
        <w:rPr>
          <w:sz w:val="20"/>
          <w:szCs w:val="20"/>
          <w:color w:val="auto"/>
        </w:rPr>
      </w:pPr>
    </w:p>
    <w:p>
      <w:pPr>
        <w:ind w:left="660" w:hanging="328"/>
        <w:spacing w:after="0" w:line="273"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2022, the Company announced the U.S. Food and Drug Administration (FDA) issued a Complete Response Letter (CRL) for the SPN-830 New Drug Application (NDA). The CRL does not request additional efficacy and safety clinical studies but rather requires additional information and analysis related to the infusion device and drug product across several areas of the NDA, including labeling, product quality and manufacturing, device performance and risk analysis. In addition, the FDA mentions that approval of the NDA requires inspections that could not be completed in a timely manner due to COVID-19 travel restrictions. Supernus will continue to work closely with the FDA to address all questions, and when possible, to provide clarity regarding the potential timing of a resubmission of the NDA. The FDA has made an initial determination that the amendment to the Company’s application in response to the CRL will be subject to a Class 2, or six-month, review timeline.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 Novel first-in-class activator of mTORC1</w:t>
      </w:r>
    </w:p>
    <w:p>
      <w:pPr>
        <w:spacing w:after="0" w:line="187" w:lineRule="exact"/>
        <w:rPr>
          <w:sz w:val="20"/>
          <w:szCs w:val="20"/>
          <w:color w:val="auto"/>
        </w:rPr>
      </w:pPr>
    </w:p>
    <w:p>
      <w:pPr>
        <w:ind w:left="660" w:right="12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II multi-center, randomized double-blind placebo-controlled parallel design study of SPN-820 in adults with treatment-resistant depression is ongoing. The study will examine the efficacy and safety of SPN-820 over a course of five weeks of treatment in approximately 270 patients. The primary outcome measure is the change from baseline to end of treatment period on the Montgomery-Asberg Depression Rating Scale (MADRS) Total Score, a standard depression rating scale.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 A novel product candidate for the treatment of epilepsy</w:t>
      </w:r>
    </w:p>
    <w:p>
      <w:pPr>
        <w:spacing w:after="0" w:line="18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open-label Phase II clinical study of SPN-817 in patients with treatment-resistant seizures is expected to start in the fourth quarter of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187"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 summary of our significant accounting policies is included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our audited consolidated financial statements included in the Annual Report on Form 10-K for the year ended December 31, 2021. There were no significant changes to the disclosures with respect to our critical accounting policies in our Annual Report on Form 10-K for the year ended December 31, 2021.</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right="5260"/>
        <w:spacing w:after="0" w:line="4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the Three and Nine Months Ended September 30, 2022 and 2021 </w:t>
      </w:r>
      <w:r>
        <w:rPr>
          <w:rFonts w:ascii="Times New Roman" w:cs="Times New Roman" w:eastAsia="Times New Roman" w:hAnsi="Times New Roman"/>
          <w:sz w:val="18"/>
          <w:szCs w:val="18"/>
          <w:i w:val="1"/>
          <w:iCs w:val="1"/>
          <w:color w:val="auto"/>
        </w:rPr>
        <w:t>Revenues</w:t>
      </w:r>
    </w:p>
    <w:p>
      <w:pPr>
        <w:jc w:val="both"/>
        <w:ind w:right="100" w:firstLine="648"/>
        <w:spacing w:after="0" w:line="263" w:lineRule="auto"/>
        <w:rPr>
          <w:sz w:val="20"/>
          <w:szCs w:val="20"/>
          <w:color w:val="auto"/>
        </w:rPr>
      </w:pPr>
      <w:r>
        <w:rPr>
          <w:rFonts w:ascii="Times New Roman" w:cs="Times New Roman" w:eastAsia="Times New Roman" w:hAnsi="Times New Roman"/>
          <w:sz w:val="18"/>
          <w:szCs w:val="18"/>
          <w:color w:val="auto"/>
        </w:rPr>
        <w:t>Revenues consist primarily of net product sales of our commercial products in the U.S., supplemented by royalty revenues from our collaborative licensing arrangements. The following table provides information regarding our revenues during the three and nine months ended September 30, 2022 and 2021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r>
      <w:tr>
        <w:trPr>
          <w:trHeight w:val="23"/>
        </w:trPr>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720" w:type="dxa"/>
            <w:vAlign w:val="bottom"/>
          </w:tcPr>
          <w:p>
            <w:pPr>
              <w:spacing w:after="0"/>
              <w:rPr>
                <w:sz w:val="2"/>
                <w:szCs w:val="2"/>
                <w:color w:val="auto"/>
              </w:rPr>
            </w:pPr>
          </w:p>
        </w:tc>
      </w:tr>
      <w:tr>
        <w:trPr>
          <w:trHeight w:val="190"/>
        </w:trPr>
        <w:tc>
          <w:tcPr>
            <w:tcW w:w="2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6"/>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29"/>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Trokendi XR</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231,531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Oxtellar XR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7%</w:t>
            </w:r>
          </w:p>
        </w:tc>
      </w:tr>
      <w:tr>
        <w:trPr>
          <w:trHeight w:val="230"/>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GOCOVRI</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APOKYN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22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3%</w:t>
            </w: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145,532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485,647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412,541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6"/>
              </w:rPr>
              <w:t>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19%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499,910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420,725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19%</w:t>
            </w:r>
          </w:p>
        </w:tc>
      </w:tr>
      <w:tr>
        <w:trPr>
          <w:trHeight w:val="21"/>
        </w:trPr>
        <w:tc>
          <w:tcPr>
            <w:tcW w:w="2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16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$27.2 million and 19% increase in net product sales for the three months ended September 30, 2022, as compared to the same period in 2021, was primarily due to the inclusion of $27.9 million in net product sales of GOCOVRI, subsequent to the completion of the Adamas Acquisition in November 2021, as well as a $16.0 million increase in net product sales of Qelbree, which was launched in May 2021. Partially offsetting this increase was a $11.3 million decrease in net product sales of Trokendi XR and a $6.4 million decrease in net product sales of APOKYN primarily attributable to the decline in unit demand due to competitive headwinds.</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$73.1 million and 18% increase in net product sales for the nine months ended September 30, 2022, as compared to the same period in 2021, was primarily due to the inclusion of $75.2 million in net product sales of GOCOVRI, subsequent to the completion of the Adamas Acquisition in November 2021, the increase of $5.9 million in net product sales of Oxtellar, as well as a $35.0 million increase in net product sales of Qelbree, which was launched in May 2021 for pediatric patients and in May 2022 for adult patients. Partially offsetting this increase was a $27.5 million decrease in net product sales of Trokendi XR and a $16.2 million decrease in net product sales of APOKYN primarily attributable to the decline in unit demand due to competitive headwinds.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Deductions and Related Accruals</w:t>
      </w:r>
    </w:p>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record accrued product returns and accrued product rebates as current liabilities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on our condensed consolidated balance sheets. We record sales discounts as a reduction against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on the condensed consolidated balance sheets. Both amounts are generally affected by changes in gross product sales, changes in the provision for net product sales deductions, and the timing of payments/credits.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activity with respect to sales deductions and related accruals during the periods indicated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Accrued Product Returns and Rebates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Reduction to</w:t>
            </w: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Accounts Receivable</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80" w:type="dxa"/>
            <w:vAlign w:val="bottom"/>
          </w:tcPr>
          <w:p>
            <w:pPr>
              <w:spacing w:after="0"/>
              <w:rPr>
                <w:sz w:val="13"/>
                <w:szCs w:val="13"/>
                <w:color w:val="auto"/>
              </w:rPr>
            </w:pPr>
          </w:p>
        </w:tc>
        <w:tc>
          <w:tcPr>
            <w:tcW w:w="116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for</w:t>
            </w:r>
          </w:p>
        </w:tc>
        <w:tc>
          <w:tcPr>
            <w:tcW w:w="32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8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current year sales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391,399</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relating to prior year sales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388,202</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(363,213)</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137,596</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current year sales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336,769</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relating to prior year sales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336,597</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(330,927)</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143,266</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Product Returns and Rebates Balances</w:t>
      </w:r>
    </w:p>
    <w:p>
      <w:pPr>
        <w:spacing w:after="0" w:line="187"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accrued product returns balance increased from $33.4 million as of September 30, 2021 to $39.3 million as of September 30, 2022 principally due to the timing of related return activity and an increase in provision for product returns primarily for Qelbree.</w:t>
      </w:r>
    </w:p>
    <w:p>
      <w:pPr>
        <w:spacing w:after="0" w:line="12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accrued product rebates balance increased from $98.6 million as of September 30, 2021 to $119.2 million as of September 30, 2022 due to timing of payments which more than offsets the increase in the provision.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Product Returns and Rebates</w:t>
      </w:r>
    </w:p>
    <w:p>
      <w:pPr>
        <w:spacing w:after="0" w:line="18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product returns increased from $8.4 million for the nine month period ended September 30, 2021 to $10.6 million for the nine month period ended September 30, 2022. The change was primarily attributable to an increase in volume of products sold with the launch of Qelbree for pediatric patients in the second quarter of 2021 and for adults in second quarter of 2022, partially offset by lower sales of Trokendi XR.</w:t>
      </w:r>
    </w:p>
    <w:p>
      <w:pPr>
        <w:spacing w:after="0" w:line="13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product rebates increased from $276.7 million for the nine month period ended September 30, 2021 to $321.9 million for the nine month period ended September 30, 2022. The increase was primarily attributable to higher sales volume, as well as higher per patient payments under both government and commercial managed care programs.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Revenues</w:t>
      </w:r>
    </w:p>
    <w:p>
      <w:pPr>
        <w:spacing w:after="0" w:line="18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Royalty revenues include a royalty from net product sales of Mydayis, a product of Takeda Pharmaceuticals Company Ltd., Namzaric royalties, and noncash royalty revenue pursuant to our agreement with Healthcare Royalty Partners III, L.P. (HC Royalty). HC Royalty receives royalty payments from United Therapeutics Corporation (United Therapeutics) based on net product sales of United Therapeutics’ product Orenitram.</w:t>
      </w:r>
    </w:p>
    <w:p>
      <w:pPr>
        <w:spacing w:after="0" w:line="135"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Royalty revenues were $4.6 million and $2.9 million for the three months ended September 30, 2022 and 2021, respectively. Royalty revenues were $14.3 million and $8.2 million for the nine months ended September 30, 2022 and 2021, respectively. The increase was primarily due to the Namzaric royalties for the three and nine months ended September 30, 2022. Namzaric royalty rights were acquired in connection with the Adamas Acquisition.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0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Cost of goods sold was $25.9 million and $18.1 million for the three months ended September 30, 2022 and 2021, respectively. The increase was primarily due to higher Qelbree sales, offset by lower royalty expense compared to the same period in the prior year.</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Cost of goods sold was $64.3 million and $58.1 million for the nine months ended September 30, 2022 and 2021, respectively. The increase was primarily due to higher Qelbree sales, offset by lower royalty expense compared to the same period in the prior year.</w:t>
      </w:r>
    </w:p>
    <w:p>
      <w:pPr>
        <w:spacing w:after="0" w:line="121"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Royalty expense associated with the acquired commercial products, APOKYN and XADAGO, made up the majority of cost of goods sold. Royalty expense declined $2.4 million for the three months ended September 30, 2022 and $5.7 million for the nine months ended September 30, 2022 primarily due to the decline in APOKYN sales in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R&amp;D expenses were $19.6 million and $19.7 million for the three months ended September 30, 2022 and 2021, respectively. R&amp;D expenses were $56.8 million and $69.4 million for the nine months ended September 30, 2022 and 2021. The $12.6 million decrease for the nine months ended September 30, 2022 was primarily due to the write-down of the $15.0 million investment in Navitor LLC which was attributable to a single in-process research and development (IPR&amp;D) asset and recorded in R&amp;D expense in the first quarter of 2021, offset by a $2.0 million increase in costs associated with regulatory activities mainly related to acquired products.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0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selling, general and administrative (SG&amp;A) expenses during the periods indicated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22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80" w:type="dxa"/>
            <w:vAlign w:val="bottom"/>
          </w:tcPr>
          <w:p>
            <w:pPr>
              <w:spacing w:after="0"/>
              <w:rPr>
                <w:sz w:val="13"/>
                <w:szCs w:val="13"/>
                <w:color w:val="auto"/>
              </w:rPr>
            </w:pPr>
          </w:p>
        </w:tc>
        <w:tc>
          <w:tcPr>
            <w:tcW w:w="11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80" w:type="dxa"/>
            <w:vAlign w:val="bottom"/>
          </w:tcPr>
          <w:p>
            <w:pPr>
              <w:spacing w:after="0"/>
              <w:rPr>
                <w:sz w:val="13"/>
                <w:szCs w:val="13"/>
                <w:color w:val="auto"/>
              </w:rPr>
            </w:pPr>
          </w:p>
        </w:tc>
        <w:tc>
          <w:tcPr>
            <w:tcW w:w="11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25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85,704</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219,798</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center"/>
              <w:ind w:right="13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83,451</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center"/>
              <w:ind w:right="135"/>
              <w:spacing w:after="0"/>
              <w:rPr>
                <w:sz w:val="20"/>
                <w:szCs w:val="20"/>
                <w:color w:val="auto"/>
              </w:rPr>
            </w:pPr>
            <w:r>
              <w:rPr>
                <w:rFonts w:ascii="Times New Roman" w:cs="Times New Roman" w:eastAsia="Times New Roman" w:hAnsi="Times New Roman"/>
                <w:sz w:val="18"/>
                <w:szCs w:val="18"/>
                <w:color w:val="auto"/>
                <w:w w:val="96"/>
              </w:rPr>
              <w:t>27%</w:t>
            </w: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112,314</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303,249</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6"/>
              </w:rPr>
              <w:t>49%</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56% to $112.3 million for the three months ended September 30, 2022. The increase was primarily due to increased marketing expenditures of approximately $30.5 million primarily for activities to support the launch of Qelbree to the adult population and the Qelbree direct-to-consumer campaign, which substantially occurred in the third quarter of 2022, as well as the acquired commercial products from Adamas Acquisition. In addition, general and administrative expenses increased $3.3 million due to higher professional and consulting costs and increased employee-related costs mainly to support IT and finance operations related to the ransomware incident, financial reporting and Adamas integration in 2022.</w:t>
      </w:r>
    </w:p>
    <w:p>
      <w:pPr>
        <w:spacing w:after="0" w:line="14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by 49% to $303.2 million for the nine months ended September 30, 2022. The increase was primarily due to increased marketing expenditures of (i) approximately $46.1 million primarily for activities to support the launch of Qelbree to the adult population and the Qelbree direct-to-consumer campaign, which substantially occurred in the third quarter of 2022, as well as (ii) approximately $8.0 million related to the commercial products acquired from the Adamas Acquisition. In addition, general and administrative expenses increased</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$10.7 million due to higher professional and consulting costs and increased employee-related costs mainly to support IT and finance operations related to the ransomware incident, financial reporting and Adamas integration in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was $20.6 million and $6.0 million for the three months ended September 30, 2022 and 2021, respectively. Amortization of intangible assets was $61.9 million and $18.0 million for the nine months ended September 30, 2022 and 2021, respectively. The increase was due to amortization of the definite-lived intangible assets acquired in the Adamas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Expense (Gain)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change in fair value of the contingent consideration liabilities was an expense of $0.5 million and $0.1 million for the three months ended September 30, 2022 and 2021, respectively. The contingent consideration expense was primarily due to an increase in the estimated fair value of regulatory and developmental milestones due to the passage of time.</w:t>
      </w:r>
    </w:p>
    <w:p>
      <w:pPr>
        <w:spacing w:after="0" w:line="189" w:lineRule="exact"/>
        <w:rPr>
          <w:sz w:val="20"/>
          <w:szCs w:val="20"/>
          <w:color w:val="auto"/>
        </w:rPr>
      </w:pPr>
    </w:p>
    <w:p>
      <w:pPr>
        <w:ind w:right="140" w:firstLine="648"/>
        <w:spacing w:after="0" w:line="232" w:lineRule="auto"/>
        <w:rPr>
          <w:sz w:val="20"/>
          <w:szCs w:val="20"/>
          <w:color w:val="auto"/>
        </w:rPr>
      </w:pPr>
      <w:r>
        <w:rPr>
          <w:rFonts w:ascii="Times New Roman" w:cs="Times New Roman" w:eastAsia="Times New Roman" w:hAnsi="Times New Roman"/>
          <w:sz w:val="18"/>
          <w:szCs w:val="18"/>
          <w:color w:val="auto"/>
        </w:rPr>
        <w:t>The change in fair value of the contingent consideration liabilities was an expense of $1.9 million and a gain of $7.7 million for the nine months ended September 30, 2022 and 2021, respectively. The contingent consideration gain was primarily due to a reduction of the sales based contingent consideration liabilities associated with the USWM Acquisition recorded in the second quarter of 2021, offset by an increase in the estimated fair value of regulatory and developmental milestones due to the passage of time and the accretion to the payout amount related to the milestone achieved in the first quarter of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was income of $1.1 million and an expense of $3.6 million for the three months ended September 30, 2022 and 2021, respectively. The increase in other income was principally due to a decrease of $4.2 million in interest expense. The decrease in interest expense was primarily related to the Company's adoption of ASU 2020-06 on January 1, 2022. As a result of the adoption, the Company no longer records interest expense on the previously recorded discount for the embedded conversion feature on the 2023 Notes.</w:t>
      </w:r>
    </w:p>
    <w:p>
      <w:pPr>
        <w:spacing w:after="0" w:line="15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was income of $13.8 million and an expense of $8.8 million for the nine months ended September 30, 2022 and 2021, respectively. The increase in other income was primarily due to $12.9 million recognized in connection with the gain associated with the Navitor investment and a decrease in interest expense of $12.0 million primarily related to the Company's adoption of ASU 2020-06.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Income tax benefit was $2.2 million and income tax expense was $7.4 million for the three months ended September 30, 2022 and 2021, respectively. The decrease was mainly due to lower earnings before income taxes. The effective income tax rate was 493.9% and 25.5% for the three months ended September 30, 2022 and 2021, respectively. The change in effective income tax rate was primarily due to larger excess tax benefits of stock-based awards in 2022.</w:t>
      </w:r>
    </w:p>
    <w:p>
      <w:pPr>
        <w:spacing w:after="0" w:line="15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Income tax benefit was $9.6 million and income tax expense was $20.1 million for the nine months ended September 30, 2022 and 2021, respectively. The effective income tax rate was (37.6)% and 28.3% for the nine months ended September 30, 2022 and 2021, respectively. The change in income tax (benefit) expense and effective income tax rate was primarily due to tax benefits associated with the Adamas legal entities reorganization in the first quarter of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the commercial launch of Qelbree and the future commercial launch of SPN-830 (apomorphine infusion device), if approved by the FDA; continued market and payor pressures for our commercial products; and the likely unfavorable impact of the upcoming loss of patent exclusivity for Trokendi XR in January 2023, or sooner under certain conditions.</w:t>
      </w:r>
    </w:p>
    <w:p>
      <w:pPr>
        <w:spacing w:after="0" w:line="146" w:lineRule="exact"/>
        <w:rPr>
          <w:sz w:val="20"/>
          <w:szCs w:val="20"/>
          <w:color w:val="auto"/>
        </w:rPr>
      </w:pPr>
    </w:p>
    <w:p>
      <w:pPr>
        <w:ind w:right="70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its balances of cash, cash equivalents and unrestricted marketable securities, which totaled $523.7 million as of September 30, 2022, along with cash generated from ongoing operations and continued access to debt markets, will be sufficient to satisfy its cash requirements over the next 12 months and beyond.</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Condition</w:t>
      </w:r>
    </w:p>
    <w:p>
      <w:pPr>
        <w:spacing w:after="0" w:line="20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marketable securities, and long-term marketable securities as of the periods presented below, are as follows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15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ind w:right="234"/>
              <w:spacing w:after="0"/>
              <w:rPr>
                <w:sz w:val="20"/>
                <w:szCs w:val="20"/>
                <w:color w:val="auto"/>
              </w:rPr>
            </w:pPr>
            <w:r>
              <w:rPr>
                <w:rFonts w:ascii="Times New Roman" w:cs="Times New Roman" w:eastAsia="Times New Roman" w:hAnsi="Times New Roman"/>
                <w:sz w:val="18"/>
                <w:szCs w:val="18"/>
                <w:color w:val="auto"/>
                <w:w w:val="97"/>
              </w:rPr>
              <w:t>(45)%</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54"/>
              <w:spacing w:after="0"/>
              <w:rPr>
                <w:sz w:val="20"/>
                <w:szCs w:val="20"/>
                <w:color w:val="auto"/>
              </w:rPr>
            </w:pPr>
            <w:r>
              <w:rPr>
                <w:rFonts w:ascii="Times New Roman" w:cs="Times New Roman" w:eastAsia="Times New Roman" w:hAnsi="Times New Roman"/>
                <w:sz w:val="18"/>
                <w:szCs w:val="18"/>
                <w:color w:val="auto"/>
                <w:w w:val="99"/>
              </w:rPr>
              <w:t>106%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523,726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Times New Roman" w:cs="Times New Roman" w:eastAsia="Times New Roman" w:hAnsi="Times New Roman"/>
                <w:sz w:val="18"/>
                <w:szCs w:val="18"/>
                <w:color w:val="auto"/>
                <w:w w:val="96"/>
              </w:rPr>
              <w:t>14%</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Total cash and cash equivalents, marketable securities and long-term marketable securities increased by $64.9 million in the first nine months of 2022, primarily due to cash generated from ongoing operations.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2022 and December 31, 2021, the outstanding principal on our 0.625% Convertible Senior Notes Due 2023 (2023 Notes) was $402.5 million. No 2023 Notes have been converted as of September 30, 2022. We have reclassified the debt from long-term to current liabilities on our </w:t>
      </w:r>
      <w:r>
        <w:rPr>
          <w:rFonts w:ascii="Times New Roman" w:cs="Times New Roman" w:eastAsia="Times New Roman" w:hAnsi="Times New Roman"/>
          <w:sz w:val="18"/>
          <w:szCs w:val="18"/>
          <w:i w:val="1"/>
          <w:iCs w:val="1"/>
          <w:color w:val="auto"/>
        </w:rPr>
        <w:t>Condensed Consolidated Balance Sheet</w:t>
      </w:r>
      <w:r>
        <w:rPr>
          <w:rFonts w:ascii="Times New Roman" w:cs="Times New Roman" w:eastAsia="Times New Roman" w:hAnsi="Times New Roman"/>
          <w:sz w:val="18"/>
          <w:szCs w:val="18"/>
          <w:color w:val="auto"/>
        </w:rPr>
        <w:t>, as the debt matures in less than twelve months as of September 30, 2022. There were no changes to the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convertible note hedge transactions (collectively, the Convertible Note Hedge Transactions) and separate warrant transactions (the Warrant Transactions). Refer to Part I, Item 1, Unaudited Condensed Financial Statements, Note 9, </w:t>
      </w:r>
      <w:r>
        <w:rPr>
          <w:rFonts w:ascii="Times New Roman" w:cs="Times New Roman" w:eastAsia="Times New Roman" w:hAnsi="Times New Roman"/>
          <w:sz w:val="18"/>
          <w:szCs w:val="18"/>
          <w:i w:val="1"/>
          <w:iCs w:val="1"/>
          <w:color w:val="auto"/>
        </w:rPr>
        <w:t>Convertible Senior Notes Due 2023,</w:t>
      </w:r>
      <w:r>
        <w:rPr>
          <w:rFonts w:ascii="Times New Roman" w:cs="Times New Roman" w:eastAsia="Times New Roman" w:hAnsi="Times New Roman"/>
          <w:sz w:val="18"/>
          <w:szCs w:val="18"/>
          <w:color w:val="auto"/>
        </w:rPr>
        <w:t xml:space="preserve"> in the Notes to the Condensed Consolidated Financial Statements, for further discussion of the 2023 Notes and our other indebtedness.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major sources and uses of cash for the periods set forth below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60" w:type="dxa"/>
            <w:vAlign w:val="bottom"/>
          </w:tcPr>
          <w:p>
            <w:pPr>
              <w:spacing w:after="0"/>
              <w:rPr>
                <w:sz w:val="16"/>
                <w:szCs w:val="16"/>
                <w:color w:val="auto"/>
              </w:rPr>
            </w:pPr>
          </w:p>
        </w:tc>
        <w:tc>
          <w:tcPr>
            <w:tcW w:w="10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7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w:t>
            </w: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r>
      <w:tr>
        <w:trPr>
          <w:trHeight w:val="230"/>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(19,626)</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$89.3 million and $78.4 million for the nine months ended September 30, 2022, and 2021, respectively. The increase in cash flows provided by operating activities was primarily due to changes in working capital which reflects the timing impacts of cash collections on receivables and settlement of payables.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$167.9 million for the nine months ended September 30, 2022, as compared to $158.0 million for the same period in 2021. Net cash used in investing activities primarily reflect cash flows from purchase, sale and maturities of marketable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$13.3 million for the nine months ended September 30, 2022 compared to net cash provided by financing activities of $6.3 million for the same period in prior year. The change was primarily due to the payment of a contingent consideration milestone associated with the USWM Acquisition, offset by proceeds from the issuance of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Refer to “Part II, Item 7 — Management’s Discussion and Analysis of Liquidity and Capital Resources”, of our Annual Report on Form 10-K for the year ended December 31, 2021, and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Condensed Consolidated Financial Statements in Part I, Item 1, Unaudited Condensed Consolidated Financial Statements, of this Quarterly Report on Form 10-Q for the discussion of our contractual obligations.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new accounting pronouncements, see Note 2 in the Notes to the Condensed Consolidated Financial Statements in Part I, Item 1, Unaudited Condensed Consolidated Financial Statements, of this Quarterly Report on Form 10-Q.</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cash equivalents, marketable securities, and long-term marketable securities. As of September 30, 2022, we had unrestricted cash, cash equivalents, marketable securities, and long-term marketable securities of $523.7 million.</w:t>
      </w:r>
    </w:p>
    <w:p>
      <w:pPr>
        <w:spacing w:after="0" w:line="14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w:t>
      </w:r>
    </w:p>
    <w:p>
      <w:pPr>
        <w:spacing w:after="0" w:line="13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cash and cash equivalents consist primarily of cash held at banks and investments in highly liquid financial instruments with an original maturity of three months or less. Our marketable securities as of September 30, 2022, which are reported at fair value, consist of money market funds; corporate and municipal debt securities; and other fixed income securities. All our investments in marketable securities are in the form of debt securities issued by governmental, corporate, and financial institutions whose debt is rated as investment grade and have maturities of one to four years. Because of the relatively short period that we hold our investments and because we generally hold these securities to maturity, we do not believe that a change in interest rates would have any significant impact on the realizable value of our investments. We do not have any currency or other derivative financial instruments other than outstanding warrants to purchase common stock and the convertible note hedges.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contract with clinical research organizations (CROs), investigational sites and contract manufacturing organizations (CMOs) globally. Currently, we have ongoing clinical trials for certain product candidates outside the U.S. We do not hedge our foreign currency exchange rate risk. Transactions denominated in currencies other than the U.S. dollar are recorded based on exchange rates at the time such transactions arise. As of September 30, 2022 and December 31, 2021, substantially all of our liabilities were denominated in the U.S. dollar.</w:t>
      </w:r>
    </w:p>
    <w:p>
      <w:pPr>
        <w:spacing w:after="0" w:line="13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cost of purchased goods, and the cost of services provided by our vendors. We do not believe that inflation and changing prices over the nine months ended September 30, 2022 and 2021 had a significant impact on our consolidated results of operations. However, in the future, inflation may have an effect on our consolidated results of operations.</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September 30, 2022, the end of the period covered by this report. Based on that evaluation, under the supervision and with the participation of our management, including our CEO and CFO, we concluded that our disclosure controls and procedures were not effective as of September 30, 2022 due to the continued material weaknesses in our internal control over financial reporting as described in our Annual Report on Form 10-K as of December 31, 2021, (the "Form 10-K") and our Quarterly Reports on Form 10-Q as of March 31, 2022 and June 30, 2022 (the "Form 10-Q").</w:t>
      </w:r>
    </w:p>
    <w:p>
      <w:pPr>
        <w:spacing w:after="0" w:line="19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light of the identified material weaknesses, we performed additional analyses and other procedures to ensure that the condensed consolidated financial statements included in this quarterly report on Form 10-Q present fairly, in all material respects,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financial position, results of operations and cash flows for the periods disclosed in conformity with U.S. generally accepted accounting principles (U.S. GAAP).</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discussed in Note 3 in the Notes to the Condensed Consolidated Financial Statements in Part I, Item 1, of this report, the Company completed its acquisition of Adamas Pharmaceuticals, Inc. (Adamas), a publicly traded biopharmaceutical company (Adamas Acquisition) on November 24, 2021. We are in the process of integrating Adamas with our controls over financial reporting. As such, the scope of our assessment of the effectiveness of our disclosure control and procedures as of September 30, 2022 did not include the internal control over financial reporting of Adamas, as permitted by the guidance of the Office of the Chief Accountant of the SEC (not to extend more than one year beyond the date of acquisition or for more than one annual reporting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Weaknesses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Management is actively remediating the identified material weaknesses, and is committed to remediating the material weaknesses in a timely manner. As of September 30, 2022, we have taken steps to remediate the material weaknesses. These include the following:</w:t>
      </w:r>
    </w:p>
    <w:p>
      <w:pPr>
        <w:spacing w:after="0" w:line="135"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 new ERP system which went live during the second quarter of 2022</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risk assessment procedures and reevaluation of control design and control procedures, both are ongoing</w:t>
      </w:r>
    </w:p>
    <w:p>
      <w:pPr>
        <w:spacing w:after="0" w:line="184" w:lineRule="exact"/>
        <w:rPr>
          <w:rFonts w:ascii="Times New Roman" w:cs="Times New Roman" w:eastAsia="Times New Roman" w:hAnsi="Times New Roman"/>
          <w:sz w:val="18"/>
          <w:szCs w:val="18"/>
          <w:color w:val="auto"/>
        </w:rPr>
      </w:pPr>
    </w:p>
    <w:p>
      <w:pPr>
        <w:ind w:left="660" w:right="120" w:firstLine="320"/>
        <w:spacing w:after="0" w:line="282" w:lineRule="auto"/>
        <w:tabs>
          <w:tab w:leader="none" w:pos="13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recruitment of key finance and IT personnel. Management identified those roles deemed critical to the remediation of the material weakness and are in the process of actively recruiting for those roles</w:t>
      </w:r>
    </w:p>
    <w:p>
      <w:pPr>
        <w:spacing w:after="0" w:line="13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training on internal control over financial reporting to employees and contractors</w:t>
      </w:r>
    </w:p>
    <w:p>
      <w:pPr>
        <w:spacing w:after="0" w:line="18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While we believe the steps we have undertaken so far will improve our internal control environment, the design and implementation of our remediation is ongoing and will require validation and testing of the design and operating effectiveness of our internal control over financial reporting for a sustained period of financial reporting cycles.</w:t>
      </w:r>
    </w:p>
    <w:p>
      <w:pPr>
        <w:spacing w:after="0" w:line="122"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While the audit committee of our board of directors and senior management are closely monitoring the remediation efforts, until the remediation efforts discussed in this section, including any additional remediation efforts that our senior management identifies as necessary, are completed, tested and determined effective, we will not be able to conclude that the material weaknesses have been remediated. In addition, we will continue to incur incremental costs associated with this remediation, primarily due to the hiring and training of additional personnel, and the improvements in our IT infrastructure. The material weaknesses will not be considered remediated until the above system, controls and personnel are in place for a period of time, the applicable controls operate for a sufficient period of time and management concludes based on its testing and evaluation that these controls are properly designed and operating effectively.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management, including our CEO and CFO, evaluated changes in our internal control over financial reporting that occurred during the quarter ended September 30, 2022.</w:t>
      </w:r>
    </w:p>
    <w:p>
      <w:pPr>
        <w:spacing w:after="0" w:line="10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As the integration of Adamas as well as the remediation of the material weaknesses continues in 2022, we are implementing certain changes to our processes and procedures, which may result in changes to our internal control over financial reporting. Management has expanded its oversight of our internal control over financial reporting during this period,</w:t>
      </w:r>
    </w:p>
    <w:p>
      <w:pPr>
        <w:spacing w:after="0" w:line="13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Except for: 1) the above noted and previously reported material weaknesses and the related ongoing remediation activities described above, and 2) the ongoing integration of Adamas, there were no other changes in our internal control over financial reporting identified in connection with the evaluation required by paragraph (d) of Exchange Act Rule 13a-15 that occurred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and in the ordinary course of business, Supernus Pharmaceuticals, Inc. ("Company") and any of its subsidiaries may be subject to various claims, charges and litigation. Parent and any of its subsidiaries may be required to file infringement claims against third parties for the infringement of our patents.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Oxtellar XR®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Apotex Inc., et al., C.A. No. 20-cv-7870 (FLW)(TJB) (D.N.J.)</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26, 2020, the Company filed a lawsuit against Apotex alleging infringement of the Company’s nine patents. 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the Company’s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On September 4, 2020, Apotex answered the Complaint and denied the substantive allegations of the Complaint, asserting affirmative defenses that include non-infringement and invalidity. Apotex also asserted Counterclaims seeking declaratory judgments of non-infringement for the nine Oxtellar XR® Orange Book patents. On October 30, 2020, the Company filed its Reply, denying the substantive allegations of Apotex’s Counterclaims. On January 27, 2022, the Court issued an Order staying all litigation proceedings and administratively terminated the action. The Court lifted the stay on July 1, 2022. Pursuant to the Court’s January 27, 2022 and July 1, 2022 Orders, the 30-month Stay was extended by 152 days from November 14, 2022 to April 15, 2023. On August 1, 2022, the Court issued an Order consolidating this lawsuit with another pending lawsuit against Apotex, C.A. No. 22-cv-322, discussed below. The Court issued a revised Scheduling Order on October 11, 2022 that (i) provides for a final pre-trial conference and trial for May 2023; and (ii) further extends the 30-month stay. Pretrial discovery is ongoing as of the date of this submission.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Apotex Inc., et al., C.A. No. 22-cv-322 (FLW)(TJB) (D.N.J.)</w:t>
      </w:r>
    </w:p>
    <w:p>
      <w:pPr>
        <w:spacing w:after="0" w:line="20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makers Apotex Inc. and Apotex Corp. (collectively, “Apotex”) dated December 10, 2021 directed to one of its Oxtellar XR® Orange Book patents. Supernus’s U.S. Patent No. 11,166,960 generally covers once-a-day oxcarbazepine formulations and methods of treating seizures using those formulations. The FDA Orange Book lists U.S. Patent No. 11,166,960 as expiring on April 13, 2027. On January 24, 2022, the Company filed a lawsuit against Apotex alleging infringement of U.S. Patent No. 11,166,960. The Complaint —filed in the U.S. District Court for the District of New Jersey—alleges, inter alia, that Apotex infringed U.S. Patent No. 11,166,960 by submitting to the FDA an Abbreviated New Drug Application (“ANDA”) seeking to market a generic version of Oxtellar XR® prior to the expiration of U.S. Patent No. 11,166,960. On January 27, 2022, in related Civil Action No. 20-cv-7870 (FLW)(TJB) (D.N.J.), the Court issued an Order staying all litigation proceedings and administratively terminated that related action. That Order further indicated that this action, i.e., Civil Action No. 22-cv-322 (FLW)(TJB) (D.N.J.), will also be stayed. The Court lifted the stay of both actions on July 1, 2022. Pursuant to the Court’s January 27, 2022 and July 1, 2022 Orders, the 30-month Stay was extended by 152 days from November 14, 2022 to April 15, 2023. On August 1, 2022, the Court issued an Order consolidating this lawsuit with another pending lawsuit against Apotex C.A. No. 20-cv-7870 and administratively terminated C.A. No. 22-cv-322, discussed above. As of the date of this submission, C.A. No. 22+-ca-322 remains administratively terminated.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RiconPharma LLC, et al., C.A. No. 21-cv-12133 (KM)(MAH) (D.N.J.)</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RiconPharma LLC dated April 20, 2021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3, 2021, the Company filed a lawsuit against RiconPharma LLC and Ingenus Pharmaceuticals, LLC (collectively, “Ricon”) alleging infringement of the Company’s nine Oxtellar XR® patents. The Complaint—filed in the U.S. District Court for the District of New Jersey—alleges, inter alia, that Ricon infringed the Company’s Oxtellar XR® patents by submitting to the FDA an Abbreviated New Drug Application (“ANDA”) seeking to market a generic</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version of Oxtellar XR® prior to the expiration of the Company’s patents. Filing its June 3, 2021 Complaint within 45 days of receiving Ricon’s Paragraph IV certification notice entitles Supernus to an automatic stay preventing the FDA from approving Ricon’s ANDA for 30 months from the date of the Company’s receipt of the Paragraph IV Notice Letter. On August 30, 2021, Ricon answered the Complaint and denied the substantive allegations of the Complaint, asserting affirmative defenses that include non-infringement and invalidity. Ricon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for the nine Oxtellar XR® Orange Book patents. Supernus filed a motion to strike the jury demand in Ricon’s answer. On December 6, 2021, the Court signed an Order withdrawing the Jury demand from Ricon’s answer. On December 13, 2021, Ricon filed an amended Answer to Supernus’s Complaint. On December 15, 2021, the Company filed its reply, denying the substantive allegations of Ricon’s Counterclaims. On September 19, 2022, the Court issued an amended scheduling order that, among other things, moved the Final Pretrial Order deadline to June 30, 2023 (trial is still scheduled to commence in July 2023). Pretrial discovery is ongoing as of the date of this submission.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RiconPharma LLC, et al., C.A. No. 22-cv-6340 (KM)(MAH) (D.N.J.)</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RiconPharma, LLC (“Ricon”) dated October 7, 2022 directed to one of its Oxtellar XR® Orange Book patents. Supernus’s U.S. Patent No. 11,166,960 generally covers once-a-day oxcarbazepine formulations and methods of treating seizures using those formulations. The FDA Orange Book lists U.S. Patent No. 11,166,960 as expiring on April 13, 2027. On October 28, 2022, the Company filed a lawsuit against Ricon alleging infringement of U.S. Patent No. 11,166,960. The Complaint—filed in the U.S. District Court for the District of New Jersey—alleges, inter alia, that Ricon infringed U.S. Patent No. 11,166,960 by submitting to the FDA an Abbreviated New Drug Application (“ANDA”) seeking to market a generic version of Oxtellar XR® prior to the expiration of U.S. Patent No. 11,166,960. As of the date of this submission, Ricon has not answered the Complaint.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Trokendi XR®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Ajanta Pharma Limited, et al., C.A. No. 21-cv-6964 (GC)(LHG) (D.N.J.)</w:t>
      </w:r>
    </w:p>
    <w:p>
      <w:pPr>
        <w:spacing w:after="0" w:line="189"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inter alia,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below. The consolidation order extended the 30-month stay preventing the FDA from approving Ajanta’s ANDA to December 16, 2023. On August 17, 2022, the Court amended the scheduling order. Under the amended scheduling order, the Final Pretrial Conference is set for May 24, 2023. The amended scheduling order states that trial will commence in July 2023. Pretrial discovery is ongoing as of the date of this submission.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Torrent Pharmaceuticals Ltd., et al., C.A. No. 21-cv-14268 (GC)(LHG) (D.N.J.)</w:t>
      </w:r>
    </w:p>
    <w:p>
      <w:pPr>
        <w:spacing w:after="0" w:line="20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“Torrent”) alleging infringement of the Company’s Trokendi XR® Orange Book patents. The Complaint—filed in the U.S. District Court for the District of New Jersey—alleges, inter alia,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above. On August 17, 2022, the Court amended scheduling order. Under the amended scheduling order, the Final Pretrial Conference is set for May 24, 2023. The amended scheduling order states that trial will commence in July 2023. Pretrial discovery is ongoing as of the date of this submission.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Lupin Limited, et al., C.A. No. 21-cv-1293 (MN) (D. Del.)</w:t>
      </w:r>
    </w:p>
    <w:p>
      <w:pPr>
        <w:spacing w:after="0" w:line="18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Lupin Limited dated July 29,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10, 2021, the Company filed a lawsuit against Lupin Limited, Lupin Atlantis Holdings S.A., Nanomi B.V., Lupin Inc., and Lupin Pharmaceuticals, Inc. (collectively, “Lupin”) alleging infringement of the Company’s Trokendi XR® Orange Book patents. The Complaint—filed in the U.S. District Court for the District of Delaware—alleges, inter alia, that Lupin infringed the Company’s Trokendi XR® patents by submitting to the FDA an Abbreviated New Drug Application (“ANDA”) seeking to market a generic version of Trokendi XR® prior to the expiration of the Company’s patents. Filing its September 10, 2021 Complaint within 45 days of receiving Lupin’s Paragraph IV certification notice entitles Supernus to an automatic stay preventing the FDA from approving Lupin’s ANDA for 30 months from the date of the Company’s receipt of the Paragraph IV Notice Letter. On December 20, 2021, Lupin answered the Complaint and denied the substantive allegations of the Complaint, asserting affirmative defenses that include non-infringement and invalidity. Lupin also asserted Counterclaims seeking declaratory judgments of non infringement and invalidity for the Trokendi XR® Orange Book patents. On January 10, 2022, the Company filed its reply, denying the substantive allegations of Lupin’s Counterclaims. On February 25, 2022, the Court issued a scheduling order that provides for the Final Pretrial Order being submitted on June 6, 2023, and a trial beginning on June 20, 2023. Pretrial discovery is ongoing as of the date of this submission.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Zydus Pharmaceuticals (USA) Inc., et al., C.A. No. 21-cv-17104 (GC)(LHG) (D.N.J.)</w:t>
      </w:r>
    </w:p>
    <w:p>
      <w:pPr>
        <w:spacing w:after="0" w:line="20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Zydus Pharmaceuticals (USA) Inc. dated August 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17, 2021, the Company filed a lawsuit against Zydus Pharmaceuticals (USA) Inc. and Cadila Healthcare Limited (collectively, “Zydus”) alleging infringement of the Company’s Trokendi XR® Orange Book patents. The Complaint—filed in the U.S. District Court for the District of New Jersey—alleges, inter alia, that Zydus infringed the Company’s Trokendi XR® patents by submitting to the FDA an Abbreviated New Drug Application (“ANDA”) seeking to market a generic version of Trokendi XR® prior to the expiration of the Company’s patents. Filing its September 17, 2021 Complaint within 45 days of receiving Zydus’s Paragraph IV certification notice entitles Supernus to an automatic stay preventing the FDA from approving Zydus’s ANDA for 30 months from the date of the Company’s receipt of the Paragraph IV Notice Letter. The August 5, 2021 Paragraph IV Notice Letter from Zydus Pharmaceuticals (USA) Inc. concerns Zydus’s proposed generic equivalent of the 200 mg</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strength of Trokendi XR®.</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The August 5, 2021 Paragraph IV Notice Letter referenced herein does not concern the same ANDA as the one that was at issue in the previous lawsuit. On December 28, 2021, Zydus answered the Complaint and denied the substantive allegations of the Complaint, asserting affirmative defenses that include non-infringement and invalidity. On April 29, 2022, the Court issued a scheduling order that provides for the Final Pretrial Order being submitted on October 5, 2023, and a trial beginning on November 7, 2023. Pretrial discovery is ongoing as of the date of this submission.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Alkem Laboratories Ltd., C.A. No. 22-cv-3511 (EEB)(SRH) (N.D. Ill.)</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Alkem Laboratories Ltd. dated May 25,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6, 2022, the Company filed a lawsuit against Alkem Laboratories Ltd. (“Alkem”) alleging infringement of the Company’s Trokendi XR® Orange Book patents. The Complaint—filed in the U.S. District Court for the Northern District of Illinois—alleges, inter alia, that Alkem infringed the Company’s Trokendi XR® patents by submitting to the FDA an Abbreviated New Drug Application (“ANDA”) seeking to market a generic version of Trokendi XR® prior to the expiration of the Company’s patents. Filing its July 6, 2022 Complaint within 45 days of receiving Alkem’s Paragraph IV certification notice entitles Supernus to an automatic stay preventing the FDA from approving Alkem’s ANDA for 30 months from the date of the Company’s receipt of the Paragraph IV Notice Letter. On October 3, 2022, Alkem answered the Complaint and denied the substantive allegations of the Complaint, asserting affirmative defenses that include non-infringement and invalidity. On October 26, 2022, the Court issued a scheduling order. The scheduling order states that the Pretrial Conference will be in May 2024 and that trial will commence in June 2024. Pretrial discovery is ongoing as of the date of this submission.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Dr. Reddy's Laboratories, Ltd., et al., C.A. No. 22-cv-4705 (GC)(LHG) (D.N.J.)</w:t>
      </w:r>
    </w:p>
    <w:p>
      <w:pPr>
        <w:spacing w:after="0" w:line="20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makers Dr. Reddy’s Laboratories Ltd. and Dr. Reddy’s Laboratories, Inc. dated June 9,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22, 2022, the Company filed a lawsuit against Dr. Reddy’s Laboratories Ltd. and Dr. Reddy’s Laboratories, Inc. (“DRL”) alleging infringement of the Company’s Trokendi XR® Orange Book patents. The Complaint—filed in the U.S. District Court for the District of New Jersey—alleges, inter alia, that DRL infringed the Company’s Trokendi XR® patents by submitting to the FDA an Abbreviated New Drug Application (“ANDA”) seeking to market a generic version of Trokendi XR® prior to the expiration of the Company’s patents. Filing its July 22, 2022 Complaint within 45 days of receiving DRL’s Paragraph IV certification notice entitles Supernus to an automatic stay preventing the FDA from approving DRL’s ANDA for 30 months from the date of the Company’s receipt of the Paragraph IV Notice Letter. On October 7, 2022, DRL answered the Compliant and denied the substantive allegations of the Complaint, asserting affirmative defenses that include non-infringement and invalidity. As of the date of this submission, the Court has not issued a case schedule.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Sage Chemical, Inc., et al. v. Supernus Pharmaceuticals, Inc., et al., C.A. No. 22-cv-1302 (CFC) (D. Del.)</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October 3, 2022, Sage Chemical, Inc. and TruPharma, LLC filed a lawsuit in the United States District Court for the District of Delaware alleging that Supernus Pharmaceuticals, Inc., Britannia Pharmaceuticals Limited, and US WorldMeds Partners, LLC violated state and federal antitrust law in connection with APOKYN® (apomorphine HCl). The Company is currently reviewing the details of the Complaint and will respond as appropriate.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 v. Ajanta Pharma Limited, C.A. No. 22-cv-1431 (D. Del.)</w:t>
      </w:r>
    </w:p>
    <w:p>
      <w:pPr>
        <w:spacing w:after="0" w:line="18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received a Paragraph IV Notice Letter from Ajanta Pharma Limited (“Ajanta”) on or around September 21, 2022, advising the Company of the filing by Ajanta of an Abbreviated New Drug Application with the U.S. Food and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4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9" w:lineRule="exact"/>
        <w:rPr>
          <w:sz w:val="20"/>
          <w:szCs w:val="20"/>
          <w:color w:val="auto"/>
        </w:rPr>
      </w:pPr>
    </w:p>
    <w:p>
      <w:pPr>
        <w:ind w:right="80" w:firstLine="8"/>
        <w:spacing w:after="0" w:line="280" w:lineRule="auto"/>
        <w:tabs>
          <w:tab w:leader="none" w:pos="165"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 xml:space="preserve">Previously, the Company was in a lawsuit against Zydus Pharmaceuticals (USA) Inc. and Cadila Healthcare Limited concerning an Abbreviated New Drug Application (“ANDA”) for Zydus’s proposed generic equivalents of the 25 mg, 50 mg, and 100 mg strengths of Trokendi XR®. A settlement agreement was entered into between the Company and Zydus Pharmaceuticals (USA) Inc. and Cadila Healthcare Limited concerning the previous lawsuit. </w:t>
      </w:r>
      <w:r>
        <w:rPr>
          <w:rFonts w:ascii="Times New Roman" w:cs="Times New Roman" w:eastAsia="Times New Roman" w:hAnsi="Times New Roman"/>
          <w:sz w:val="16"/>
          <w:szCs w:val="16"/>
          <w:i w:val="1"/>
          <w:iCs w:val="1"/>
          <w:color w:val="auto"/>
        </w:rPr>
        <w:t xml:space="preserve">See </w:t>
      </w:r>
      <w:r>
        <w:rPr>
          <w:rFonts w:ascii="Times New Roman" w:cs="Times New Roman" w:eastAsia="Times New Roman" w:hAnsi="Times New Roman"/>
          <w:sz w:val="16"/>
          <w:szCs w:val="16"/>
          <w:color w:val="auto"/>
        </w:rPr>
        <w:t>https://www.sec.gov/Archives/edgar/data/1356576/000110465917031191/a17-10293_1ex10d1.htm.</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Administration (“FDA”) seeking approval for Oxcarbazepine Extended-Release Tablets, 150 mg, 300 mg, and 600 mg. The Notice Letter is directed to the Oxtellar XR® Orange Book patents, namely United States Patent Nos. 7,722,898, 7,910,131, 8,617,600, 8,821,930, 9,119,791, 9,351,975, 9,370,525, 9,855,278, 10,220,042, and 11,166,960. The FDA Orange Book currently lists all ten of the Oxtellar XR® Orange Book patents as expiring on April 13, 2027. On October 28, 2022, the Company filed a lawsuit against Ajanta alleging infringement of the Company’s Oxtellar XR® patents. The Complaint— filed in the U.S. District Court for the District of Delaware—alleges, inter alia, that Ajanta infringed the Company’s Oxtellar XR® patents by submitting to the FDA an Abbreviated New Drug Application (“ANDA”) seeking to market a generic version of Oxtellar XR® prior to the expiration of the Company’s patents. Filing its October 28, 2022 Complaint within 45 days of receiving Ajanta’s Paragraph IV certification notice entitles Supernus to an automatic stay preventing the FDA from approving Ajanta’s ANDA for 30 months from the date of the Company’s receipt of the Paragraph IV Notice Letter. As of the date of this submission, Ajanta has not answered the Complaint.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XADAGO®</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June 10, 2021, Newron Pharmaceuticals S.p.A. ("Newron"), Zambon S.p.A. ("Zambon") and Supernus Pharmaceuticals, Inc. (the "Company"), through its subsidiary MDD US Operations, LLC (collectively, "Plaintiffs"), initiated litigation against generic drug makers Aurobindo Pharma Limited, Aurobindo Pharma USA Inc., MSN Laboratories Private Limited ("MSN"), Optimus Pharma Pvt Ltd, Prinston Pharmaceutical, Inc., RK Pharma, Inc. and Zenara Pharma Private Limited (collectively, "Defendants") for infringement of three FDA Orange Book patents covering XADAGO®, the Company's once-daily product indicated as adjunctive treatment to levodopa/carbidopa in patients with Parkinson's Disease experiencing "off" episodes. U.S. Patent Nos. 8,076,515, 8,278,485 and 8,283,380 (collectively, the "XADAGO Patents") cover the pharmaceutical formulation of and methods of treatment with safinamide. The XADAGO Patents expire between June 2027 and March 2031. The Company has a license agreement with Zambon, Newron's partner, related to the XADAGO Patents, and as a new chemical entity, XADAGO was under the 5-year FDA exclusivity period that expired on March 21, 2022. The Complaint - filed in the U.S. District Court for the District of Delaware - alleges that the Defendants infringed the XADAGO Patents by submitting to the U.S. Food and Drug Administration (FDA) Abbreviated New Drug Applications (ANDAs) seeking to market generic versions of XADAGO prior to the expiration of the patents. Filing the Complaint within 45 days of receiving each of the Defendants' Paragraph IV notice letters entitles the Plaintiffs to an automatic stay preventing the FDA from approving the Defendants' ANDAs for 30 months from the date of the Plaintiffs' receipt of the Paragraph IV Notice Letters. The parties agreed on a case schedule. A trial has been set for January 8, 2024. On March 22, 2022, defendant Optimus Pharma Pvt Ltd. was dismissed from the case without prejudice. Fact discovery is ongoing with the remaining defendants. A claim construction hearing originally scheduled for August 22, 2022 has been rescheduled for December 1,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Adamas Litigation</w:t>
      </w:r>
    </w:p>
    <w:p>
      <w:pPr>
        <w:spacing w:after="0" w:line="202" w:lineRule="exact"/>
        <w:rPr>
          <w:sz w:val="20"/>
          <w:szCs w:val="20"/>
          <w:color w:val="auto"/>
        </w:rPr>
      </w:pPr>
    </w:p>
    <w:p>
      <w:pPr>
        <w:ind w:right="40" w:firstLine="738"/>
        <w:spacing w:after="0" w:line="258" w:lineRule="auto"/>
        <w:rPr>
          <w:sz w:val="20"/>
          <w:szCs w:val="20"/>
          <w:color w:val="auto"/>
        </w:rPr>
      </w:pPr>
      <w:r>
        <w:rPr>
          <w:rFonts w:ascii="Times New Roman" w:cs="Times New Roman" w:eastAsia="Times New Roman" w:hAnsi="Times New Roman"/>
          <w:sz w:val="18"/>
          <w:szCs w:val="18"/>
          <w:color w:val="auto"/>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spacing w:after="0" w:line="143" w:lineRule="exact"/>
        <w:rPr>
          <w:sz w:val="20"/>
          <w:szCs w:val="20"/>
          <w:color w:val="auto"/>
        </w:rPr>
      </w:pPr>
    </w:p>
    <w:p>
      <w:pPr>
        <w:ind w:right="300" w:firstLine="738"/>
        <w:spacing w:after="0" w:line="266" w:lineRule="auto"/>
        <w:rPr>
          <w:sz w:val="20"/>
          <w:szCs w:val="20"/>
          <w:color w:val="auto"/>
        </w:rPr>
      </w:pPr>
      <w:r>
        <w:rPr>
          <w:rFonts w:ascii="Times New Roman" w:cs="Times New Roman" w:eastAsia="Times New Roman" w:hAnsi="Times New Roman"/>
          <w:sz w:val="18"/>
          <w:szCs w:val="18"/>
          <w:color w:val="auto"/>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spacing w:after="0" w:line="135" w:lineRule="exact"/>
        <w:rPr>
          <w:sz w:val="20"/>
          <w:szCs w:val="20"/>
          <w:color w:val="auto"/>
        </w:rPr>
      </w:pPr>
    </w:p>
    <w:p>
      <w:pPr>
        <w:ind w:right="120" w:firstLine="738"/>
        <w:spacing w:after="0" w:line="258" w:lineRule="auto"/>
        <w:rPr>
          <w:sz w:val="20"/>
          <w:szCs w:val="20"/>
          <w:color w:val="auto"/>
        </w:rPr>
      </w:pPr>
      <w:r>
        <w:rPr>
          <w:rFonts w:ascii="Times New Roman" w:cs="Times New Roman" w:eastAsia="Times New Roman" w:hAnsi="Times New Roman"/>
          <w:sz w:val="18"/>
          <w:szCs w:val="18"/>
          <w:color w:val="auto"/>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spacing w:after="0" w:line="156" w:lineRule="exact"/>
        <w:rPr>
          <w:sz w:val="20"/>
          <w:szCs w:val="20"/>
          <w:color w:val="auto"/>
        </w:rPr>
      </w:pPr>
    </w:p>
    <w:p>
      <w:pPr>
        <w:ind w:right="40" w:firstLine="738"/>
        <w:spacing w:after="0" w:line="258" w:lineRule="auto"/>
        <w:rPr>
          <w:sz w:val="20"/>
          <w:szCs w:val="20"/>
          <w:color w:val="auto"/>
        </w:rPr>
      </w:pPr>
      <w:r>
        <w:rPr>
          <w:rFonts w:ascii="Times New Roman" w:cs="Times New Roman" w:eastAsia="Times New Roman" w:hAnsi="Times New Roman"/>
          <w:sz w:val="18"/>
          <w:szCs w:val="18"/>
          <w:color w:val="auto"/>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spacing w:after="0" w:line="153" w:lineRule="exact"/>
        <w:rPr>
          <w:sz w:val="20"/>
          <w:szCs w:val="20"/>
          <w:color w:val="auto"/>
        </w:rPr>
      </w:pPr>
    </w:p>
    <w:p>
      <w:pPr>
        <w:ind w:right="200" w:firstLine="738"/>
        <w:spacing w:after="0" w:line="255" w:lineRule="auto"/>
        <w:rPr>
          <w:sz w:val="20"/>
          <w:szCs w:val="20"/>
          <w:color w:val="auto"/>
        </w:rPr>
      </w:pPr>
      <w:r>
        <w:rPr>
          <w:rFonts w:ascii="Times New Roman" w:cs="Times New Roman" w:eastAsia="Times New Roman" w:hAnsi="Times New Roman"/>
          <w:sz w:val="18"/>
          <w:szCs w:val="18"/>
          <w:color w:val="auto"/>
        </w:rPr>
        <w:t>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The petition remains pending.</w:t>
      </w:r>
    </w:p>
    <w:p>
      <w:pPr>
        <w:spacing w:after="0" w:line="148" w:lineRule="exact"/>
        <w:rPr>
          <w:sz w:val="20"/>
          <w:szCs w:val="20"/>
          <w:color w:val="auto"/>
        </w:rPr>
      </w:pPr>
    </w:p>
    <w:p>
      <w:pPr>
        <w:ind w:firstLine="738"/>
        <w:spacing w:after="0" w:line="256" w:lineRule="auto"/>
        <w:rPr>
          <w:sz w:val="20"/>
          <w:szCs w:val="20"/>
          <w:color w:val="auto"/>
        </w:rPr>
      </w:pPr>
      <w:r>
        <w:rPr>
          <w:rFonts w:ascii="Times New Roman" w:cs="Times New Roman" w:eastAsia="Times New Roman" w:hAnsi="Times New Roman"/>
          <w:sz w:val="18"/>
          <w:szCs w:val="18"/>
          <w:color w:val="auto"/>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The motion to dismiss remains pending.</w:t>
      </w:r>
    </w:p>
    <w:p>
      <w:pPr>
        <w:spacing w:after="0" w:line="147" w:lineRule="exact"/>
        <w:rPr>
          <w:sz w:val="20"/>
          <w:szCs w:val="20"/>
          <w:color w:val="auto"/>
        </w:rPr>
      </w:pPr>
    </w:p>
    <w:p>
      <w:pPr>
        <w:ind w:right="40" w:firstLine="738"/>
        <w:spacing w:after="0" w:line="255" w:lineRule="auto"/>
        <w:rPr>
          <w:sz w:val="20"/>
          <w:szCs w:val="20"/>
          <w:color w:val="auto"/>
        </w:rPr>
      </w:pPr>
      <w:r>
        <w:rPr>
          <w:rFonts w:ascii="Times New Roman" w:cs="Times New Roman" w:eastAsia="Times New Roman" w:hAnsi="Times New Roman"/>
          <w:sz w:val="18"/>
          <w:szCs w:val="18"/>
          <w:color w:val="auto"/>
        </w:rPr>
        <w:t>On March 16, 2020, a shareholder derivative lawsuit was filed by Patrick Van Camp in federal court in the Northern District of California (Case No. 4:20-cv-01815) naming Adamas and certain of Adamas's former directors and officers as defendants. This lawsuit alleges certain of Adamas's former directors and officers breached fiduciary duties and violated the Securities Exchange Act of 1934. Adamas is named as a nominal defendant only. On April 6, 2020, another, virtually identical, shareholder derivative lawsuit was filed by James Druzbik in federal court in the Northern District of California (Case No. 4:20- cv-02320) naming Adamas and certain of Adamas's former directors and officers as defendants. This lawsuit contains the same allegations, claims, and defendants as the first derivative action. Adamas is named as a nominal defendant only. In both actions, Plaintiffs seek unspecified monetary damages and other relief. These actions have been consolidated and are stayed pending resolution of the Zaidi class 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Adamas believes it has strong factual and legal defenses to all actions and intends to defend itself vigorously.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2021, on Form 10-Q for the period ended June 30, 2022, and on this Quarterly Report on Form 10-Q for the period ended September 30, 2022. These risks may result in material harm to our business and our financial condition and results of operations. If a material, adverse event was to occur, the market price of our common stock may decline, and you could lose part or all of your investment.</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all of the Company’s grants of equity awards occurred pursuant to its 2021 Equity Incentive Plan (the “2021 Plan”). Securities issued under the 2021 Plan are registered on the Company’s Form S-8 filed on June 25, 2021.</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05"/>
        </w:trPr>
        <w:tc>
          <w:tcPr>
            <w:tcW w:w="10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Quarterly Report on Form 10-Q:</w:t>
            </w:r>
          </w:p>
        </w:tc>
      </w:tr>
      <w:tr>
        <w:trPr>
          <w:trHeight w:val="21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18"/>
                <w:szCs w:val="18"/>
                <w:color w:val="auto"/>
              </w:rPr>
            </w:pPr>
          </w:p>
        </w:tc>
        <w:tc>
          <w:tcPr>
            <w:tcW w:w="4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w:t>
            </w:r>
          </w:p>
        </w:tc>
        <w:tc>
          <w:tcPr>
            <w:tcW w:w="4820" w:type="dxa"/>
            <w:vAlign w:val="bottom"/>
            <w:gridSpan w:val="2"/>
          </w:tcPr>
          <w:p>
            <w:pPr>
              <w:spacing w:after="0"/>
              <w:rPr>
                <w:sz w:val="18"/>
                <w:szCs w:val="18"/>
                <w:color w:val="auto"/>
              </w:rPr>
            </w:pPr>
          </w:p>
        </w:tc>
      </w:tr>
      <w:tr>
        <w:trPr>
          <w:trHeight w:val="46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w:t>
            </w: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spacing w:after="0"/>
              <w:rPr>
                <w:sz w:val="24"/>
                <w:szCs w:val="24"/>
                <w:color w:val="auto"/>
              </w:rPr>
            </w:pPr>
          </w:p>
        </w:tc>
        <w:tc>
          <w:tcPr>
            <w:tcW w:w="9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r>
      <w:tr>
        <w:trPr>
          <w:trHeight w:val="155"/>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72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55"/>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8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2" w:lineRule="exact"/>
        <w:rPr>
          <w:sz w:val="20"/>
          <w:szCs w:val="20"/>
          <w:color w:val="auto"/>
        </w:rPr>
      </w:pPr>
    </w:p>
    <w:p>
      <w:pPr>
        <w:ind w:left="1080" w:hanging="1054"/>
        <w:spacing w:after="0" w:line="220"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 September 30, 2022, formatted in Inline XBRL: (i) Cover Page, (ii) Condensed Consolidated Statements of Earnings, (iii) Condensed Consolidated Statements of Comprehensive Earnings, (iv) Condensed Consolidated Balance Sheets, (v) Condensed Consolidated Statements of Changes in Stockholders' Equity, (vi) Condensed Consolidated Statements of Cash Flows, and (vii) the Notes to Condensed Consolidated Financial Statements, tagged in summary and detail.</w:t>
      </w:r>
    </w:p>
    <w:p>
      <w:pPr>
        <w:spacing w:after="0" w:line="118" w:lineRule="exact"/>
        <w:rPr>
          <w:sz w:val="20"/>
          <w:szCs w:val="20"/>
          <w:color w:val="auto"/>
        </w:rPr>
      </w:pPr>
    </w:p>
    <w:p>
      <w:pPr>
        <w:ind w:left="1080" w:right="140" w:hanging="1054"/>
        <w:spacing w:after="0" w:line="237"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Company’s Quarterly Report on Form 10-Q for the quarter ended September 30, 2022, formatted in Inline XBRL (included with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79" w:lineRule="exact"/>
        <w:rPr>
          <w:sz w:val="20"/>
          <w:szCs w:val="20"/>
          <w:color w:val="auto"/>
        </w:rPr>
      </w:pPr>
    </w:p>
    <w:p>
      <w:pPr>
        <w:ind w:left="20"/>
        <w:spacing w:after="0"/>
        <w:tabs>
          <w:tab w:leader="none" w:pos="5600" w:val="left"/>
          <w:tab w:leader="none" w:pos="6120" w:val="left"/>
        </w:tabs>
        <w:rPr>
          <w:sz w:val="20"/>
          <w:szCs w:val="20"/>
          <w:color w:val="auto"/>
        </w:rPr>
      </w:pPr>
      <w:r>
        <w:rPr>
          <w:rFonts w:ascii="Times New Roman" w:cs="Times New Roman" w:eastAsia="Times New Roman" w:hAnsi="Times New Roman"/>
          <w:sz w:val="18"/>
          <w:szCs w:val="18"/>
          <w:color w:val="auto"/>
        </w:rPr>
        <w:t>DATED: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111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Jack A. Khattar</w:t>
      </w:r>
    </w:p>
    <w:p>
      <w:pPr>
        <w:ind w:left="6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3" w:lineRule="exact"/>
        <w:rPr>
          <w:sz w:val="20"/>
          <w:szCs w:val="20"/>
          <w:color w:val="auto"/>
        </w:rPr>
      </w:pPr>
    </w:p>
    <w:p>
      <w:pPr>
        <w:ind w:left="20"/>
        <w:spacing w:after="0"/>
        <w:tabs>
          <w:tab w:leader="none" w:pos="5600" w:val="left"/>
          <w:tab w:leader="none" w:pos="6120" w:val="left"/>
        </w:tabs>
        <w:rPr>
          <w:sz w:val="20"/>
          <w:szCs w:val="20"/>
          <w:color w:val="auto"/>
        </w:rPr>
      </w:pPr>
      <w:r>
        <w:rPr>
          <w:rFonts w:ascii="Times New Roman" w:cs="Times New Roman" w:eastAsia="Times New Roman" w:hAnsi="Times New Roman"/>
          <w:sz w:val="18"/>
          <w:szCs w:val="18"/>
          <w:color w:val="auto"/>
        </w:rPr>
        <w:t>DATED: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111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Timothy C. Dec</w:t>
      </w:r>
    </w:p>
    <w:p>
      <w:pPr>
        <w:ind w:left="61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00"/>
          </w:cols>
          <w:pgMar w:left="320" w:top="121" w:right="3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Jack A. Khattar, certify that:</w:t>
      </w:r>
    </w:p>
    <w:p>
      <w:pPr>
        <w:spacing w:after="0" w:line="17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have reviewed this Quarterly Report on Form 10-Q of Supernus Pharmaceuticals, Inc.;</w:t>
      </w:r>
    </w:p>
    <w:p>
      <w:pPr>
        <w:spacing w:after="0" w:line="198" w:lineRule="exact"/>
        <w:rPr>
          <w:rFonts w:ascii="Times New Roman" w:cs="Times New Roman" w:eastAsia="Times New Roman" w:hAnsi="Times New Roman"/>
          <w:sz w:val="16"/>
          <w:szCs w:val="16"/>
          <w:color w:val="auto"/>
        </w:rPr>
      </w:pPr>
    </w:p>
    <w:p>
      <w:pPr>
        <w:jc w:val="both"/>
        <w:ind w:left="660" w:right="120" w:hanging="652"/>
        <w:spacing w:after="0" w:line="266"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6"/>
          <w:szCs w:val="16"/>
          <w:color w:val="auto"/>
        </w:rPr>
      </w:pPr>
    </w:p>
    <w:p>
      <w:pPr>
        <w:ind w:left="660" w:right="80" w:hanging="652"/>
        <w:spacing w:after="0" w:line="282"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6"/>
          <w:szCs w:val="16"/>
          <w:color w:val="auto"/>
        </w:rPr>
      </w:pPr>
    </w:p>
    <w:p>
      <w:pPr>
        <w:ind w:left="660" w:right="120" w:hanging="652"/>
        <w:spacing w:after="0" w:line="266"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6"/>
          <w:szCs w:val="16"/>
          <w:color w:val="auto"/>
        </w:rPr>
      </w:pPr>
    </w:p>
    <w:p>
      <w:pPr>
        <w:ind w:left="1300" w:right="120" w:hanging="644"/>
        <w:spacing w:after="0" w:line="266" w:lineRule="auto"/>
        <w:tabs>
          <w:tab w:leader="none" w:pos="1291"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6"/>
          <w:szCs w:val="16"/>
          <w:color w:val="auto"/>
        </w:rPr>
      </w:pPr>
    </w:p>
    <w:p>
      <w:pPr>
        <w:ind w:left="1300" w:right="40" w:hanging="644"/>
        <w:spacing w:after="0" w:line="266" w:lineRule="auto"/>
        <w:tabs>
          <w:tab w:leader="none" w:pos="130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6"/>
          <w:szCs w:val="16"/>
          <w:color w:val="auto"/>
        </w:rPr>
      </w:pPr>
    </w:p>
    <w:p>
      <w:pPr>
        <w:ind w:left="1300" w:right="220" w:hanging="644"/>
        <w:spacing w:after="0" w:line="312" w:lineRule="auto"/>
        <w:tabs>
          <w:tab w:leader="none" w:pos="1291"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5"/>
          <w:szCs w:val="15"/>
          <w:color w:val="auto"/>
        </w:rPr>
      </w:pPr>
    </w:p>
    <w:p>
      <w:pPr>
        <w:ind w:left="1300" w:right="240" w:hanging="644"/>
        <w:spacing w:after="0" w:line="266" w:lineRule="auto"/>
        <w:tabs>
          <w:tab w:leader="none" w:pos="130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6"/>
          <w:szCs w:val="16"/>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6"/>
          <w:szCs w:val="16"/>
          <w:color w:val="auto"/>
        </w:rPr>
      </w:pPr>
    </w:p>
    <w:p>
      <w:pPr>
        <w:ind w:left="1300" w:right="500" w:hanging="644"/>
        <w:spacing w:after="0" w:line="282" w:lineRule="auto"/>
        <w:tabs>
          <w:tab w:leader="none" w:pos="129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360"/>
        <w:spacing w:after="0"/>
        <w:tabs>
          <w:tab w:leader="none" w:pos="5820" w:val="left"/>
          <w:tab w:leader="none" w:pos="6260" w:val="left"/>
        </w:tabs>
        <w:rPr>
          <w:sz w:val="20"/>
          <w:szCs w:val="20"/>
          <w:color w:val="auto"/>
        </w:rPr>
      </w:pPr>
      <w:r>
        <w:rPr>
          <w:rFonts w:ascii="Times New Roman" w:cs="Times New Roman" w:eastAsia="Times New Roman" w:hAnsi="Times New Roman"/>
          <w:sz w:val="16"/>
          <w:szCs w:val="16"/>
          <w:color w:val="auto"/>
        </w:rPr>
        <w:t>Date: November 9, 2022</w:t>
      </w:r>
      <w:r>
        <w:rPr>
          <w:sz w:val="20"/>
          <w:szCs w:val="20"/>
          <w:color w:val="auto"/>
        </w:rPr>
        <w:tab/>
      </w:r>
      <w:r>
        <w:rPr>
          <w:rFonts w:ascii="Times New Roman" w:cs="Times New Roman" w:eastAsia="Times New Roman" w:hAnsi="Times New Roman"/>
          <w:sz w:val="16"/>
          <w:szCs w:val="16"/>
          <w:color w:val="auto"/>
        </w:rPr>
        <w:t>By:</w:t>
        <w:tab/>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20320</wp:posOffset>
            </wp:positionV>
            <wp:extent cx="29400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color w:val="auto"/>
        </w:rPr>
        <w:t>Jack A. Khattar</w:t>
      </w:r>
    </w:p>
    <w:p>
      <w:pPr>
        <w:ind w:left="62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40"/>
          </w:cols>
          <w:pgMar w:left="320" w:top="106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Timothy C. Dec, certify that:</w:t>
      </w:r>
    </w:p>
    <w:p>
      <w:pPr>
        <w:spacing w:after="0" w:line="17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have reviewed this Quarterly Report on Form 10-Q of Supernus Pharmaceuticals, Inc.;</w:t>
      </w:r>
    </w:p>
    <w:p>
      <w:pPr>
        <w:spacing w:after="0" w:line="198" w:lineRule="exact"/>
        <w:rPr>
          <w:rFonts w:ascii="Times New Roman" w:cs="Times New Roman" w:eastAsia="Times New Roman" w:hAnsi="Times New Roman"/>
          <w:sz w:val="16"/>
          <w:szCs w:val="16"/>
          <w:color w:val="auto"/>
        </w:rPr>
      </w:pPr>
    </w:p>
    <w:p>
      <w:pPr>
        <w:jc w:val="both"/>
        <w:ind w:left="660" w:right="120" w:hanging="652"/>
        <w:spacing w:after="0" w:line="266"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6"/>
          <w:szCs w:val="16"/>
          <w:color w:val="auto"/>
        </w:rPr>
      </w:pPr>
    </w:p>
    <w:p>
      <w:pPr>
        <w:ind w:left="660" w:right="80" w:hanging="652"/>
        <w:spacing w:after="0" w:line="282"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6"/>
          <w:szCs w:val="16"/>
          <w:color w:val="auto"/>
        </w:rPr>
      </w:pPr>
    </w:p>
    <w:p>
      <w:pPr>
        <w:ind w:left="660" w:right="120" w:hanging="652"/>
        <w:spacing w:after="0" w:line="266"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6"/>
          <w:szCs w:val="16"/>
          <w:color w:val="auto"/>
        </w:rPr>
      </w:pPr>
    </w:p>
    <w:p>
      <w:pPr>
        <w:ind w:left="1300" w:right="120" w:hanging="644"/>
        <w:spacing w:after="0" w:line="266" w:lineRule="auto"/>
        <w:tabs>
          <w:tab w:leader="none" w:pos="1291"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6"/>
          <w:szCs w:val="16"/>
          <w:color w:val="auto"/>
        </w:rPr>
      </w:pPr>
    </w:p>
    <w:p>
      <w:pPr>
        <w:ind w:left="1300" w:right="40" w:hanging="644"/>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6"/>
          <w:szCs w:val="16"/>
          <w:color w:val="auto"/>
        </w:rPr>
      </w:pPr>
    </w:p>
    <w:p>
      <w:pPr>
        <w:ind w:left="1300" w:right="500" w:hanging="644"/>
        <w:spacing w:after="0" w:line="282"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360"/>
        <w:spacing w:after="0"/>
        <w:tabs>
          <w:tab w:leader="none" w:pos="5580" w:val="left"/>
          <w:tab w:leader="none" w:pos="6000" w:val="left"/>
        </w:tabs>
        <w:rPr>
          <w:sz w:val="20"/>
          <w:szCs w:val="20"/>
          <w:color w:val="auto"/>
        </w:rPr>
      </w:pPr>
      <w:r>
        <w:rPr>
          <w:rFonts w:ascii="Times New Roman" w:cs="Times New Roman" w:eastAsia="Times New Roman" w:hAnsi="Times New Roman"/>
          <w:sz w:val="16"/>
          <w:szCs w:val="16"/>
          <w:color w:val="auto"/>
        </w:rPr>
        <w:t>Date: November 9, 2022</w:t>
      </w:r>
      <w:r>
        <w:rPr>
          <w:sz w:val="20"/>
          <w:szCs w:val="20"/>
          <w:color w:val="auto"/>
        </w:rPr>
        <w:tab/>
      </w:r>
      <w:r>
        <w:rPr>
          <w:rFonts w:ascii="Times New Roman" w:cs="Times New Roman" w:eastAsia="Times New Roman" w:hAnsi="Times New Roman"/>
          <w:sz w:val="16"/>
          <w:szCs w:val="16"/>
          <w:color w:val="auto"/>
        </w:rPr>
        <w:t>By:</w:t>
        <w:tab/>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20320</wp:posOffset>
            </wp:positionV>
            <wp:extent cx="31032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Timothy C. Dec</w:t>
      </w:r>
    </w:p>
    <w:p>
      <w:pPr>
        <w:spacing w:after="0" w:line="3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p>
      <w:pPr>
        <w:sectPr>
          <w:pgSz w:w="11900" w:h="16838" w:orient="portrait"/>
          <w:cols w:equalWidth="0" w:num="1">
            <w:col w:w="11240"/>
          </w:cols>
          <w:pgMar w:left="320" w:top="106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6"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In connection with the Quarterly Report of Supernus Pharmaceuticals, Inc. (the “Company”) on Form 10-Q for the period ended September 30, 2022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51"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20"/>
        <w:spacing w:after="0"/>
        <w:tabs>
          <w:tab w:leader="none" w:pos="5260" w:val="left"/>
          <w:tab w:leader="none" w:pos="5700" w:val="left"/>
        </w:tabs>
        <w:rPr>
          <w:sz w:val="20"/>
          <w:szCs w:val="20"/>
          <w:color w:val="auto"/>
        </w:rPr>
      </w:pPr>
      <w:r>
        <w:rPr>
          <w:rFonts w:ascii="Times New Roman" w:cs="Times New Roman" w:eastAsia="Times New Roman" w:hAnsi="Times New Roman"/>
          <w:sz w:val="16"/>
          <w:szCs w:val="16"/>
          <w:color w:val="auto"/>
        </w:rPr>
        <w:t>Date: November 9, 2022</w:t>
      </w:r>
      <w:r>
        <w:rPr>
          <w:sz w:val="20"/>
          <w:szCs w:val="20"/>
          <w:color w:val="auto"/>
        </w:rPr>
        <w:tab/>
      </w:r>
      <w:r>
        <w:rPr>
          <w:rFonts w:ascii="Times New Roman" w:cs="Times New Roman" w:eastAsia="Times New Roman" w:hAnsi="Times New Roman"/>
          <w:sz w:val="16"/>
          <w:szCs w:val="16"/>
          <w:color w:val="auto"/>
        </w:rPr>
        <w:t>By:</w:t>
        <w:tab/>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20320</wp:posOffset>
            </wp:positionV>
            <wp:extent cx="32918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Jack A. Khattar</w:t>
      </w:r>
    </w:p>
    <w:p>
      <w:pPr>
        <w:ind w:left="57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40"/>
          </w:cols>
          <w:pgMar w:left="320" w:top="106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6" w:lineRule="exact"/>
        <w:rPr>
          <w:sz w:val="20"/>
          <w:szCs w:val="20"/>
          <w:color w:val="auto"/>
        </w:rPr>
      </w:pPr>
    </w:p>
    <w:p>
      <w:pPr>
        <w:jc w:val="both"/>
        <w:ind w:right="420"/>
        <w:spacing w:after="0" w:line="263" w:lineRule="auto"/>
        <w:rPr>
          <w:sz w:val="20"/>
          <w:szCs w:val="20"/>
          <w:color w:val="auto"/>
        </w:rPr>
      </w:pPr>
      <w:r>
        <w:rPr>
          <w:rFonts w:ascii="Times New Roman" w:cs="Times New Roman" w:eastAsia="Times New Roman" w:hAnsi="Times New Roman"/>
          <w:sz w:val="16"/>
          <w:szCs w:val="16"/>
          <w:color w:val="auto"/>
        </w:rPr>
        <w:t>In connection with the Quarterly Report of Supernus Pharmaceuticals, Inc. (the “Company”) on Form 10-Q for the period ended September 30, 2022 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spacing w:after="0" w:line="151"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20"/>
        <w:spacing w:after="0"/>
        <w:tabs>
          <w:tab w:leader="none" w:pos="5260" w:val="left"/>
          <w:tab w:leader="none" w:pos="5700" w:val="left"/>
        </w:tabs>
        <w:rPr>
          <w:sz w:val="20"/>
          <w:szCs w:val="20"/>
          <w:color w:val="auto"/>
        </w:rPr>
      </w:pPr>
      <w:r>
        <w:rPr>
          <w:rFonts w:ascii="Times New Roman" w:cs="Times New Roman" w:eastAsia="Times New Roman" w:hAnsi="Times New Roman"/>
          <w:sz w:val="16"/>
          <w:szCs w:val="16"/>
          <w:color w:val="auto"/>
        </w:rPr>
        <w:t>Date: November 9, 2022</w:t>
      </w:r>
      <w:r>
        <w:rPr>
          <w:sz w:val="20"/>
          <w:szCs w:val="20"/>
          <w:color w:val="auto"/>
        </w:rPr>
        <w:tab/>
      </w:r>
      <w:r>
        <w:rPr>
          <w:rFonts w:ascii="Times New Roman" w:cs="Times New Roman" w:eastAsia="Times New Roman" w:hAnsi="Times New Roman"/>
          <w:sz w:val="16"/>
          <w:szCs w:val="16"/>
          <w:color w:val="auto"/>
        </w:rPr>
        <w:t>By:</w:t>
        <w:tab/>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20320</wp:posOffset>
            </wp:positionV>
            <wp:extent cx="32918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Timothy C. Dec</w:t>
      </w:r>
    </w:p>
    <w:p>
      <w:pPr>
        <w:ind w:left="572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sectPr>
      <w:pgSz w:w="11900" w:h="16838" w:orient="portrait"/>
      <w:cols w:equalWidth="0" w:num="1">
        <w:col w:w="11240"/>
      </w:cols>
      <w:pgMar w:left="320" w:top="10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2"/>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2022-11-09T17:59:53Z</dcterms:created>
  <dcterms:modified xsi:type="dcterms:W3CDTF">2022-11-09T17:59:53Z</dcterms:modified>
</cp:coreProperties>
</file>