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1874.xml.htm"/>
      <w:bookmarkStart w:id="1" w:name="kswkform4_17867418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Bhatt Padmanabh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SUPERNUS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9715 KEY WEST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SUPERNUS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of IP,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251 shares acquired by the Reporting Person through the Issuer's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common stock withheld by the Company to satisfy tax withholding requirements in connection with the vesting of Performance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19, 2025, the Reporting Person was awarded Performance Share Units, a portion of which vested upon the achievement of individual performance objectives within a defined performance period, which objectives were established on May 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C. Dec,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9215" TargetMode="External"/><Relationship Id="rId5" Type="http://schemas.openxmlformats.org/officeDocument/2006/relationships/hyperlink" Target="http://www.sec.gov/cgi-bin/browse-edgar?action=getcompany&amp;CIK=00013565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3689</Characters>
  <CharactersWithSpaces>4278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